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32ED" w14:textId="7CC90DF2" w:rsidR="00904C5B" w:rsidRDefault="007E5EBA" w:rsidP="00904C5B">
      <w:pPr>
        <w:jc w:val="center"/>
        <w:rPr>
          <w:b/>
          <w:bCs/>
          <w:sz w:val="32"/>
          <w:szCs w:val="32"/>
          <w:lang w:val="en-US"/>
        </w:rPr>
      </w:pPr>
      <w:r w:rsidRPr="36F21B7F">
        <w:rPr>
          <w:b/>
          <w:bCs/>
          <w:sz w:val="32"/>
          <w:szCs w:val="32"/>
          <w:u w:val="single"/>
          <w:lang w:val="en-US"/>
        </w:rPr>
        <w:t xml:space="preserve">Malpas Alport </w:t>
      </w:r>
      <w:r w:rsidR="006C78A2" w:rsidRPr="36F21B7F">
        <w:rPr>
          <w:b/>
          <w:bCs/>
          <w:sz w:val="32"/>
          <w:szCs w:val="32"/>
          <w:u w:val="single"/>
          <w:lang w:val="en-US"/>
        </w:rPr>
        <w:t>Attendance Data</w:t>
      </w:r>
      <w:r w:rsidR="0062614E">
        <w:rPr>
          <w:b/>
          <w:bCs/>
          <w:sz w:val="32"/>
          <w:szCs w:val="32"/>
          <w:u w:val="single"/>
          <w:lang w:val="en-US"/>
        </w:rPr>
        <w:t xml:space="preserve"> (Comparative</w:t>
      </w:r>
      <w:r w:rsidR="00904C5B">
        <w:rPr>
          <w:b/>
          <w:bCs/>
          <w:sz w:val="32"/>
          <w:szCs w:val="32"/>
          <w:u w:val="single"/>
          <w:lang w:val="en-US"/>
        </w:rPr>
        <w:t>)</w:t>
      </w:r>
    </w:p>
    <w:p w14:paraId="2DAF5234" w14:textId="648C5BC9" w:rsidR="00725B07" w:rsidRPr="004D176A" w:rsidRDefault="00904C5B">
      <w:pPr>
        <w:rPr>
          <w:b/>
          <w:bCs/>
          <w:color w:val="FF0000"/>
          <w:sz w:val="28"/>
          <w:szCs w:val="28"/>
          <w:lang w:val="en-US"/>
        </w:rPr>
      </w:pPr>
      <w:r w:rsidRPr="004D176A">
        <w:rPr>
          <w:b/>
          <w:bCs/>
          <w:color w:val="FF0000"/>
          <w:sz w:val="28"/>
          <w:szCs w:val="28"/>
          <w:lang w:val="en-US"/>
        </w:rPr>
        <w:t>**</w:t>
      </w:r>
      <w:r w:rsidR="00395B5F" w:rsidRPr="004D176A">
        <w:rPr>
          <w:b/>
          <w:bCs/>
          <w:color w:val="FF0000"/>
          <w:sz w:val="28"/>
          <w:szCs w:val="28"/>
          <w:lang w:val="en-US"/>
        </w:rPr>
        <w:t xml:space="preserve"> </w:t>
      </w:r>
      <w:r w:rsidR="00AC6960" w:rsidRPr="004D176A">
        <w:rPr>
          <w:b/>
          <w:bCs/>
          <w:color w:val="FF0000"/>
          <w:sz w:val="28"/>
          <w:szCs w:val="28"/>
          <w:lang w:val="en-US"/>
        </w:rPr>
        <w:t>School data taken from INSIGHT (YEAR 1-6)</w:t>
      </w:r>
    </w:p>
    <w:p w14:paraId="04EA1E05" w14:textId="101B2EBD" w:rsidR="00725B07" w:rsidRPr="00725B07" w:rsidRDefault="00725B07" w:rsidP="00725B07">
      <w:pPr>
        <w:rPr>
          <w:b/>
          <w:bCs/>
          <w:lang w:val="en-US"/>
        </w:rPr>
      </w:pPr>
      <w:r w:rsidRPr="7D69BB65">
        <w:rPr>
          <w:b/>
          <w:bCs/>
          <w:lang w:val="en-US"/>
        </w:rPr>
        <w:t>Current picture</w:t>
      </w:r>
      <w:r w:rsidR="32C82A88" w:rsidRPr="7D69BB65">
        <w:rPr>
          <w:b/>
          <w:bCs/>
          <w:lang w:val="en-US"/>
        </w:rPr>
        <w:t>:</w:t>
      </w:r>
      <w:r w:rsidRPr="7D69BB65">
        <w:rPr>
          <w:b/>
          <w:bCs/>
          <w:lang w:val="en-US"/>
        </w:rPr>
        <w:t xml:space="preserve"> </w:t>
      </w:r>
    </w:p>
    <w:p w14:paraId="0FF96EBC" w14:textId="2A34E63E" w:rsidR="006C78A2" w:rsidRPr="009E0D3D" w:rsidRDefault="1EE607F9" w:rsidP="00F33E6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National Data</w:t>
      </w:r>
      <w:r w:rsidR="6FDDE33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Summar</w:t>
      </w:r>
      <w:r w:rsidR="4C50FBF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(new data from the DfE Attendance data dashboard)</w:t>
      </w:r>
    </w:p>
    <w:p w14:paraId="56AA2E4C" w14:textId="2B739B27" w:rsidR="006C78A2" w:rsidRPr="009E0D3D" w:rsidRDefault="006C78A2" w:rsidP="7D69B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690"/>
        <w:gridCol w:w="1597"/>
        <w:gridCol w:w="1676"/>
        <w:gridCol w:w="1746"/>
        <w:gridCol w:w="1648"/>
      </w:tblGrid>
      <w:tr w:rsidR="0052560E" w14:paraId="5F918502" w14:textId="77777777" w:rsidTr="0052560E">
        <w:trPr>
          <w:trHeight w:val="300"/>
        </w:trPr>
        <w:tc>
          <w:tcPr>
            <w:tcW w:w="1379" w:type="dxa"/>
          </w:tcPr>
          <w:p w14:paraId="1A1B418A" w14:textId="77777777" w:rsidR="0052560E" w:rsidRPr="7D69BB65" w:rsidRDefault="0052560E" w:rsidP="7D69BB6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14:paraId="0E3CD0C0" w14:textId="5D517C52" w:rsidR="0052560E" w:rsidRDefault="0052560E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r w:rsidRPr="7D69BB65">
              <w:rPr>
                <w:b/>
                <w:bCs/>
                <w:sz w:val="20"/>
                <w:szCs w:val="20"/>
                <w:lang w:val="en-US"/>
              </w:rPr>
              <w:t>Attendance rate</w:t>
            </w:r>
          </w:p>
        </w:tc>
        <w:tc>
          <w:tcPr>
            <w:tcW w:w="1597" w:type="dxa"/>
          </w:tcPr>
          <w:p w14:paraId="1597D5F5" w14:textId="3C754A56" w:rsidR="0052560E" w:rsidRDefault="0052560E" w:rsidP="7D69BB65">
            <w:pPr>
              <w:spacing w:line="259" w:lineRule="auto"/>
            </w:pPr>
            <w:r w:rsidRPr="7D69BB65">
              <w:rPr>
                <w:b/>
                <w:bCs/>
                <w:sz w:val="20"/>
                <w:szCs w:val="20"/>
                <w:lang w:val="en-US"/>
              </w:rPr>
              <w:t>Overall absence rate</w:t>
            </w:r>
          </w:p>
        </w:tc>
        <w:tc>
          <w:tcPr>
            <w:tcW w:w="1676" w:type="dxa"/>
          </w:tcPr>
          <w:p w14:paraId="6590E45D" w14:textId="6E4F63B7" w:rsidR="0052560E" w:rsidRDefault="0052560E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7D69BB65">
              <w:rPr>
                <w:b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7D69BB65">
              <w:rPr>
                <w:b/>
                <w:bCs/>
                <w:sz w:val="20"/>
                <w:szCs w:val="20"/>
                <w:lang w:val="en-US"/>
              </w:rPr>
              <w:t xml:space="preserve"> absence rate</w:t>
            </w:r>
          </w:p>
        </w:tc>
        <w:tc>
          <w:tcPr>
            <w:tcW w:w="1746" w:type="dxa"/>
          </w:tcPr>
          <w:p w14:paraId="23CA1E1C" w14:textId="46ADC329" w:rsidR="0052560E" w:rsidRDefault="0052560E" w:rsidP="7D69BB65">
            <w:pPr>
              <w:spacing w:line="259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7D69BB65">
              <w:rPr>
                <w:b/>
                <w:bCs/>
                <w:sz w:val="20"/>
                <w:szCs w:val="20"/>
                <w:lang w:val="en-US"/>
              </w:rPr>
              <w:t>Unauthorised</w:t>
            </w:r>
            <w:proofErr w:type="spellEnd"/>
            <w:r w:rsidRPr="7D69BB65">
              <w:rPr>
                <w:b/>
                <w:bCs/>
                <w:sz w:val="20"/>
                <w:szCs w:val="20"/>
                <w:lang w:val="en-US"/>
              </w:rPr>
              <w:t xml:space="preserve"> absence rate</w:t>
            </w:r>
          </w:p>
        </w:tc>
        <w:tc>
          <w:tcPr>
            <w:tcW w:w="1648" w:type="dxa"/>
          </w:tcPr>
          <w:p w14:paraId="424184D0" w14:textId="7AA16F95" w:rsidR="0052560E" w:rsidRDefault="0052560E" w:rsidP="7D69BB65">
            <w:pPr>
              <w:spacing w:line="259" w:lineRule="auto"/>
            </w:pPr>
            <w:r w:rsidRPr="7D69BB65">
              <w:rPr>
                <w:b/>
                <w:bCs/>
                <w:sz w:val="20"/>
                <w:szCs w:val="20"/>
                <w:lang w:val="en-US"/>
              </w:rPr>
              <w:t>Persistent absence rate</w:t>
            </w:r>
          </w:p>
        </w:tc>
      </w:tr>
      <w:tr w:rsidR="0052560E" w14:paraId="0DDA414D" w14:textId="77777777" w:rsidTr="0052560E">
        <w:trPr>
          <w:trHeight w:val="300"/>
        </w:trPr>
        <w:tc>
          <w:tcPr>
            <w:tcW w:w="1379" w:type="dxa"/>
            <w:shd w:val="clear" w:color="auto" w:fill="E2EFD9" w:themeFill="accent6" w:themeFillTint="33"/>
          </w:tcPr>
          <w:p w14:paraId="6D790954" w14:textId="1D6CAA84" w:rsidR="0052560E" w:rsidRPr="007F1624" w:rsidRDefault="0052560E" w:rsidP="7D69BB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1624">
              <w:rPr>
                <w:b/>
                <w:bCs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5DEA5AE3" w14:textId="77DCD234" w:rsidR="0052560E" w:rsidRPr="00904C5B" w:rsidRDefault="0052560E" w:rsidP="7D69BB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4C5B">
              <w:rPr>
                <w:b/>
                <w:bCs/>
                <w:sz w:val="24"/>
                <w:szCs w:val="24"/>
                <w:lang w:val="en-US"/>
              </w:rPr>
              <w:t>94%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2E5BEEAC" w14:textId="302F9B38" w:rsidR="0052560E" w:rsidRPr="00904C5B" w:rsidRDefault="0052560E" w:rsidP="7D69BB6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04C5B">
              <w:rPr>
                <w:b/>
                <w:bCs/>
                <w:sz w:val="24"/>
                <w:szCs w:val="24"/>
                <w:lang w:val="en-US"/>
              </w:rPr>
              <w:t>6%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2FFE1290" w14:textId="43A9DD59" w:rsidR="0052560E" w:rsidRPr="00904C5B" w:rsidRDefault="0052560E" w:rsidP="7D69BB6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04C5B">
              <w:rPr>
                <w:b/>
                <w:bCs/>
                <w:sz w:val="24"/>
                <w:szCs w:val="24"/>
                <w:lang w:val="en-US"/>
              </w:rPr>
              <w:t>4.3%</w:t>
            </w:r>
          </w:p>
        </w:tc>
        <w:tc>
          <w:tcPr>
            <w:tcW w:w="1746" w:type="dxa"/>
            <w:shd w:val="clear" w:color="auto" w:fill="E2EFD9" w:themeFill="accent6" w:themeFillTint="33"/>
          </w:tcPr>
          <w:p w14:paraId="58FAC957" w14:textId="5C474374" w:rsidR="0052560E" w:rsidRPr="00904C5B" w:rsidRDefault="0052560E" w:rsidP="7D69BB6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04C5B">
              <w:rPr>
                <w:b/>
                <w:bCs/>
                <w:sz w:val="24"/>
                <w:szCs w:val="24"/>
                <w:lang w:val="en-US"/>
              </w:rPr>
              <w:t>1.7%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170ADDEF" w14:textId="330E02B6" w:rsidR="0052560E" w:rsidRPr="00904C5B" w:rsidRDefault="0052560E" w:rsidP="7D69BB6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04C5B">
              <w:rPr>
                <w:b/>
                <w:bCs/>
                <w:sz w:val="24"/>
                <w:szCs w:val="24"/>
                <w:lang w:val="en-US"/>
              </w:rPr>
              <w:t>17.2%</w:t>
            </w:r>
          </w:p>
        </w:tc>
      </w:tr>
      <w:tr w:rsidR="0052560E" w14:paraId="510C0521" w14:textId="77777777" w:rsidTr="0052560E">
        <w:trPr>
          <w:trHeight w:val="300"/>
        </w:trPr>
        <w:tc>
          <w:tcPr>
            <w:tcW w:w="1379" w:type="dxa"/>
            <w:shd w:val="clear" w:color="auto" w:fill="E2EFD9" w:themeFill="accent6" w:themeFillTint="33"/>
          </w:tcPr>
          <w:p w14:paraId="4FABC6D7" w14:textId="18E1BE9F" w:rsidR="0052560E" w:rsidRDefault="0052560E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2021-22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0BF814B4" w14:textId="2671C6DD" w:rsidR="0052560E" w:rsidRPr="00904C5B" w:rsidRDefault="00F1496A" w:rsidP="7D69BB65">
            <w:pPr>
              <w:rPr>
                <w:sz w:val="20"/>
                <w:szCs w:val="20"/>
                <w:lang w:val="en-US"/>
              </w:rPr>
            </w:pPr>
            <w:r w:rsidRPr="00904C5B">
              <w:rPr>
                <w:sz w:val="20"/>
                <w:szCs w:val="20"/>
                <w:lang w:val="en-US"/>
              </w:rPr>
              <w:t>93.7%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473EF4C3" w14:textId="52472BA2" w:rsidR="0052560E" w:rsidRPr="7D69BB65" w:rsidRDefault="00101C52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6.3%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5540BF98" w14:textId="63242407" w:rsidR="0052560E" w:rsidRPr="36F21B7F" w:rsidRDefault="00101C52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4.8%</w:t>
            </w:r>
          </w:p>
        </w:tc>
        <w:tc>
          <w:tcPr>
            <w:tcW w:w="1746" w:type="dxa"/>
            <w:shd w:val="clear" w:color="auto" w:fill="E2EFD9" w:themeFill="accent6" w:themeFillTint="33"/>
          </w:tcPr>
          <w:p w14:paraId="3003137F" w14:textId="0434ABDA" w:rsidR="0052560E" w:rsidRPr="36F21B7F" w:rsidRDefault="00101C52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1.5%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010FAA7C" w14:textId="06FC59F7" w:rsidR="0052560E" w:rsidRPr="36F21B7F" w:rsidRDefault="00101C52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17.7%</w:t>
            </w:r>
          </w:p>
        </w:tc>
      </w:tr>
      <w:tr w:rsidR="0052560E" w14:paraId="496F5B34" w14:textId="77777777" w:rsidTr="0052560E">
        <w:trPr>
          <w:trHeight w:val="300"/>
        </w:trPr>
        <w:tc>
          <w:tcPr>
            <w:tcW w:w="1379" w:type="dxa"/>
            <w:shd w:val="clear" w:color="auto" w:fill="E2EFD9" w:themeFill="accent6" w:themeFillTint="33"/>
          </w:tcPr>
          <w:p w14:paraId="771B1C59" w14:textId="1DCE8047" w:rsidR="0052560E" w:rsidRDefault="0052560E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2020-21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661B8408" w14:textId="7D0F0C0B" w:rsidR="0052560E" w:rsidRPr="00904C5B" w:rsidRDefault="0017356B" w:rsidP="7D69BB65">
            <w:pPr>
              <w:rPr>
                <w:sz w:val="20"/>
                <w:szCs w:val="20"/>
                <w:lang w:val="en-US"/>
              </w:rPr>
            </w:pPr>
            <w:r w:rsidRPr="00904C5B">
              <w:rPr>
                <w:sz w:val="20"/>
                <w:szCs w:val="20"/>
                <w:lang w:val="en-US"/>
              </w:rPr>
              <w:t>96.4%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48A510EE" w14:textId="628689A0" w:rsidR="0052560E" w:rsidRPr="7D69BB65" w:rsidRDefault="00F1496A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="0017356B">
              <w:rPr>
                <w:sz w:val="20"/>
                <w:szCs w:val="20"/>
                <w:lang w:val="en-US"/>
              </w:rPr>
              <w:t>6%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7F87551F" w14:textId="311BD839" w:rsidR="0052560E" w:rsidRPr="36F21B7F" w:rsidRDefault="0017356B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2.7%</w:t>
            </w:r>
          </w:p>
        </w:tc>
        <w:tc>
          <w:tcPr>
            <w:tcW w:w="1746" w:type="dxa"/>
            <w:shd w:val="clear" w:color="auto" w:fill="E2EFD9" w:themeFill="accent6" w:themeFillTint="33"/>
          </w:tcPr>
          <w:p w14:paraId="05D97E3A" w14:textId="0C966E60" w:rsidR="0052560E" w:rsidRPr="36F21B7F" w:rsidRDefault="0017356B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0.9%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03CC2335" w14:textId="0E2B05A3" w:rsidR="0052560E" w:rsidRPr="36F21B7F" w:rsidRDefault="0017356B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8.8%</w:t>
            </w:r>
          </w:p>
        </w:tc>
      </w:tr>
    </w:tbl>
    <w:p w14:paraId="23563D02" w14:textId="551B88F8" w:rsidR="006C78A2" w:rsidRPr="009E0D3D" w:rsidRDefault="006C78A2" w:rsidP="7D69B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F8BEA31" w14:textId="6C236AC6" w:rsidR="006C78A2" w:rsidRPr="009E0D3D" w:rsidRDefault="02A5A065" w:rsidP="7D69B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School </w:t>
      </w:r>
      <w:r w:rsidR="2DBA051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Data Summary</w:t>
      </w:r>
      <w:r w:rsidR="1C2FD25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(taken from INSIGHT)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691"/>
        <w:gridCol w:w="1597"/>
        <w:gridCol w:w="1676"/>
        <w:gridCol w:w="1747"/>
        <w:gridCol w:w="1648"/>
      </w:tblGrid>
      <w:tr w:rsidR="00C84A16" w14:paraId="384106B4" w14:textId="77777777" w:rsidTr="00C84A16">
        <w:trPr>
          <w:trHeight w:val="300"/>
        </w:trPr>
        <w:tc>
          <w:tcPr>
            <w:tcW w:w="1377" w:type="dxa"/>
          </w:tcPr>
          <w:p w14:paraId="09FCEF43" w14:textId="77777777" w:rsidR="00C84A16" w:rsidRPr="7D69BB65" w:rsidRDefault="00C84A16" w:rsidP="7D69BB6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</w:tcPr>
          <w:p w14:paraId="58888A1B" w14:textId="5333EC4C" w:rsidR="00C84A16" w:rsidRDefault="00C84A16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r w:rsidRPr="7D69BB65">
              <w:rPr>
                <w:b/>
                <w:bCs/>
                <w:sz w:val="20"/>
                <w:szCs w:val="20"/>
                <w:lang w:val="en-US"/>
              </w:rPr>
              <w:t>Attendance rate</w:t>
            </w:r>
          </w:p>
        </w:tc>
        <w:tc>
          <w:tcPr>
            <w:tcW w:w="1597" w:type="dxa"/>
          </w:tcPr>
          <w:p w14:paraId="2F53075D" w14:textId="3C754A56" w:rsidR="00C84A16" w:rsidRDefault="00C84A16" w:rsidP="7D69BB65">
            <w:pPr>
              <w:spacing w:line="259" w:lineRule="auto"/>
            </w:pPr>
            <w:r w:rsidRPr="7D69BB65">
              <w:rPr>
                <w:b/>
                <w:bCs/>
                <w:sz w:val="20"/>
                <w:szCs w:val="20"/>
                <w:lang w:val="en-US"/>
              </w:rPr>
              <w:t>Overall absence rate</w:t>
            </w:r>
          </w:p>
        </w:tc>
        <w:tc>
          <w:tcPr>
            <w:tcW w:w="1676" w:type="dxa"/>
          </w:tcPr>
          <w:p w14:paraId="2E9F320A" w14:textId="6E4F63B7" w:rsidR="00C84A16" w:rsidRDefault="00C84A16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7D69BB65">
              <w:rPr>
                <w:b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7D69BB65">
              <w:rPr>
                <w:b/>
                <w:bCs/>
                <w:sz w:val="20"/>
                <w:szCs w:val="20"/>
                <w:lang w:val="en-US"/>
              </w:rPr>
              <w:t xml:space="preserve"> absence rate</w:t>
            </w:r>
          </w:p>
        </w:tc>
        <w:tc>
          <w:tcPr>
            <w:tcW w:w="1747" w:type="dxa"/>
          </w:tcPr>
          <w:p w14:paraId="0EA9096F" w14:textId="46ADC329" w:rsidR="00C84A16" w:rsidRDefault="00C84A16" w:rsidP="7D69BB65">
            <w:pPr>
              <w:spacing w:line="259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7D69BB65">
              <w:rPr>
                <w:b/>
                <w:bCs/>
                <w:sz w:val="20"/>
                <w:szCs w:val="20"/>
                <w:lang w:val="en-US"/>
              </w:rPr>
              <w:t>Unauthorised</w:t>
            </w:r>
            <w:proofErr w:type="spellEnd"/>
            <w:r w:rsidRPr="7D69BB65">
              <w:rPr>
                <w:b/>
                <w:bCs/>
                <w:sz w:val="20"/>
                <w:szCs w:val="20"/>
                <w:lang w:val="en-US"/>
              </w:rPr>
              <w:t xml:space="preserve"> absence rate</w:t>
            </w:r>
          </w:p>
        </w:tc>
        <w:tc>
          <w:tcPr>
            <w:tcW w:w="1648" w:type="dxa"/>
          </w:tcPr>
          <w:p w14:paraId="56373160" w14:textId="7AA16F95" w:rsidR="00C84A16" w:rsidRDefault="00C84A16" w:rsidP="7D69BB65">
            <w:pPr>
              <w:spacing w:line="259" w:lineRule="auto"/>
            </w:pPr>
            <w:r w:rsidRPr="7D69BB65">
              <w:rPr>
                <w:b/>
                <w:bCs/>
                <w:sz w:val="20"/>
                <w:szCs w:val="20"/>
                <w:lang w:val="en-US"/>
              </w:rPr>
              <w:t>Persistent absence rate</w:t>
            </w:r>
          </w:p>
        </w:tc>
      </w:tr>
      <w:tr w:rsidR="00C84A16" w14:paraId="0BCE9226" w14:textId="77777777" w:rsidTr="00C84A16">
        <w:trPr>
          <w:trHeight w:val="300"/>
        </w:trPr>
        <w:tc>
          <w:tcPr>
            <w:tcW w:w="1377" w:type="dxa"/>
            <w:shd w:val="clear" w:color="auto" w:fill="E2EFD9" w:themeFill="accent6" w:themeFillTint="33"/>
          </w:tcPr>
          <w:p w14:paraId="3AA6D067" w14:textId="13B98082" w:rsidR="00C84A16" w:rsidRPr="007F1624" w:rsidRDefault="00C84A16" w:rsidP="7D69BB6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1624">
              <w:rPr>
                <w:b/>
                <w:bCs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14:paraId="1C26646B" w14:textId="683E5745" w:rsidR="00C84A16" w:rsidRPr="007F1624" w:rsidRDefault="00C84A16" w:rsidP="7D69BB65">
            <w:pPr>
              <w:spacing w:line="259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7F1624">
              <w:rPr>
                <w:b/>
                <w:bCs/>
                <w:color w:val="00B050"/>
                <w:sz w:val="24"/>
                <w:szCs w:val="24"/>
                <w:lang w:val="en-US"/>
              </w:rPr>
              <w:t>95.7%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468CFD36" w14:textId="595F6751" w:rsidR="00C84A16" w:rsidRPr="007F1624" w:rsidRDefault="00C84A16" w:rsidP="7D69BB65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F1624">
              <w:rPr>
                <w:b/>
                <w:bCs/>
                <w:color w:val="00B050"/>
                <w:sz w:val="24"/>
                <w:szCs w:val="24"/>
                <w:lang w:val="en-US"/>
              </w:rPr>
              <w:t>4.3%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45DFBC79" w14:textId="48D31E7F" w:rsidR="00C84A16" w:rsidRPr="007F1624" w:rsidRDefault="00C84A16" w:rsidP="7D69BB65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F1624">
              <w:rPr>
                <w:b/>
                <w:bCs/>
                <w:color w:val="00B050"/>
                <w:sz w:val="24"/>
                <w:szCs w:val="24"/>
                <w:lang w:val="en-US"/>
              </w:rPr>
              <w:t>3.5%</w:t>
            </w:r>
          </w:p>
        </w:tc>
        <w:tc>
          <w:tcPr>
            <w:tcW w:w="1747" w:type="dxa"/>
            <w:shd w:val="clear" w:color="auto" w:fill="E2EFD9" w:themeFill="accent6" w:themeFillTint="33"/>
          </w:tcPr>
          <w:p w14:paraId="7D38B20B" w14:textId="02ED6479" w:rsidR="00C84A16" w:rsidRPr="007F1624" w:rsidRDefault="00C84A16" w:rsidP="7D69BB65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F1624">
              <w:rPr>
                <w:b/>
                <w:bCs/>
                <w:color w:val="00B050"/>
                <w:sz w:val="24"/>
                <w:szCs w:val="24"/>
                <w:lang w:val="en-US"/>
              </w:rPr>
              <w:t>0.8%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45C0C60E" w14:textId="273D98AB" w:rsidR="00C84A16" w:rsidRPr="007F1624" w:rsidRDefault="00C84A16" w:rsidP="7D69BB65">
            <w:pPr>
              <w:rPr>
                <w:b/>
                <w:bCs/>
                <w:color w:val="00B050"/>
                <w:sz w:val="24"/>
                <w:szCs w:val="24"/>
                <w:lang w:val="en-US"/>
              </w:rPr>
            </w:pPr>
            <w:r w:rsidRPr="007F1624">
              <w:rPr>
                <w:b/>
                <w:bCs/>
                <w:color w:val="00B050"/>
                <w:sz w:val="24"/>
                <w:szCs w:val="24"/>
                <w:lang w:val="en-US"/>
              </w:rPr>
              <w:t>7.1%</w:t>
            </w:r>
          </w:p>
        </w:tc>
      </w:tr>
      <w:tr w:rsidR="00C84A16" w14:paraId="57BC8C05" w14:textId="77777777" w:rsidTr="00C84A16">
        <w:trPr>
          <w:trHeight w:val="300"/>
        </w:trPr>
        <w:tc>
          <w:tcPr>
            <w:tcW w:w="1377" w:type="dxa"/>
            <w:shd w:val="clear" w:color="auto" w:fill="E2EFD9" w:themeFill="accent6" w:themeFillTint="33"/>
          </w:tcPr>
          <w:p w14:paraId="701C6C6A" w14:textId="7993D3AF" w:rsidR="00C84A16" w:rsidRDefault="00C84A16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2021-22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14:paraId="0D781293" w14:textId="2164256A" w:rsidR="00C84A16" w:rsidRPr="00904C5B" w:rsidRDefault="007635A2" w:rsidP="7D69BB65">
            <w:pPr>
              <w:rPr>
                <w:sz w:val="20"/>
                <w:szCs w:val="20"/>
                <w:lang w:val="en-US"/>
              </w:rPr>
            </w:pPr>
            <w:r w:rsidRPr="00904C5B">
              <w:rPr>
                <w:sz w:val="20"/>
                <w:szCs w:val="20"/>
                <w:lang w:val="en-US"/>
              </w:rPr>
              <w:t>94.4%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526D52D0" w14:textId="159A0A16" w:rsidR="00C84A16" w:rsidRPr="7D69BB65" w:rsidRDefault="007635A2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5.6%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470EE55B" w14:textId="7148CAFC" w:rsidR="00C84A16" w:rsidRPr="7D69BB65" w:rsidRDefault="0008593D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4.7%</w:t>
            </w:r>
          </w:p>
        </w:tc>
        <w:tc>
          <w:tcPr>
            <w:tcW w:w="1747" w:type="dxa"/>
            <w:shd w:val="clear" w:color="auto" w:fill="E2EFD9" w:themeFill="accent6" w:themeFillTint="33"/>
          </w:tcPr>
          <w:p w14:paraId="2181AE33" w14:textId="049AF094" w:rsidR="00C84A16" w:rsidRPr="7D69BB65" w:rsidRDefault="0008593D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0.9%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0704A1B7" w14:textId="126D88EB" w:rsidR="00C84A16" w:rsidRDefault="0008593D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11.5%</w:t>
            </w:r>
          </w:p>
        </w:tc>
      </w:tr>
      <w:tr w:rsidR="0052560E" w14:paraId="02878A3D" w14:textId="77777777" w:rsidTr="00C84A16">
        <w:trPr>
          <w:trHeight w:val="300"/>
        </w:trPr>
        <w:tc>
          <w:tcPr>
            <w:tcW w:w="1377" w:type="dxa"/>
            <w:shd w:val="clear" w:color="auto" w:fill="E2EFD9" w:themeFill="accent6" w:themeFillTint="33"/>
          </w:tcPr>
          <w:p w14:paraId="78B6698E" w14:textId="1EC91E36" w:rsidR="0052560E" w:rsidRDefault="0052560E" w:rsidP="7D69BB6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2020-21</w:t>
            </w:r>
          </w:p>
        </w:tc>
        <w:tc>
          <w:tcPr>
            <w:tcW w:w="1691" w:type="dxa"/>
            <w:shd w:val="clear" w:color="auto" w:fill="E2EFD9" w:themeFill="accent6" w:themeFillTint="33"/>
          </w:tcPr>
          <w:p w14:paraId="08FC641A" w14:textId="73DE14DF" w:rsidR="0052560E" w:rsidRPr="00904C5B" w:rsidRDefault="00CD059A" w:rsidP="7D69BB65">
            <w:pPr>
              <w:rPr>
                <w:sz w:val="20"/>
                <w:szCs w:val="20"/>
                <w:lang w:val="en-US"/>
              </w:rPr>
            </w:pPr>
            <w:r w:rsidRPr="00904C5B">
              <w:rPr>
                <w:sz w:val="20"/>
                <w:szCs w:val="20"/>
                <w:lang w:val="en-US"/>
              </w:rPr>
              <w:t>96.9%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5598E221" w14:textId="68856719" w:rsidR="0052560E" w:rsidRPr="7D69BB65" w:rsidRDefault="00CD059A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3.1%</w:t>
            </w:r>
          </w:p>
        </w:tc>
        <w:tc>
          <w:tcPr>
            <w:tcW w:w="1676" w:type="dxa"/>
            <w:shd w:val="clear" w:color="auto" w:fill="E2EFD9" w:themeFill="accent6" w:themeFillTint="33"/>
          </w:tcPr>
          <w:p w14:paraId="6527FE07" w14:textId="43737252" w:rsidR="0052560E" w:rsidRPr="7D69BB65" w:rsidRDefault="00CD059A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2.4%</w:t>
            </w:r>
          </w:p>
        </w:tc>
        <w:tc>
          <w:tcPr>
            <w:tcW w:w="1747" w:type="dxa"/>
            <w:shd w:val="clear" w:color="auto" w:fill="E2EFD9" w:themeFill="accent6" w:themeFillTint="33"/>
          </w:tcPr>
          <w:p w14:paraId="4A493DEA" w14:textId="4040C8BD" w:rsidR="0052560E" w:rsidRPr="7D69BB65" w:rsidRDefault="00CD059A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0.7%</w:t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76D91F02" w14:textId="15EE0ACF" w:rsidR="0052560E" w:rsidRDefault="00CD059A" w:rsidP="7D69B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4.3%</w:t>
            </w:r>
          </w:p>
        </w:tc>
      </w:tr>
    </w:tbl>
    <w:p w14:paraId="29ABBAD5" w14:textId="75778D3B" w:rsidR="006C78A2" w:rsidRPr="009E0D3D" w:rsidRDefault="006C78A2" w:rsidP="7D69B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497A10F7" w14:textId="49B671CB" w:rsidR="3261D6F9" w:rsidRDefault="3261D6F9" w:rsidP="00F33E68">
      <w:pPr>
        <w:spacing w:after="0" w:line="240" w:lineRule="auto"/>
        <w:jc w:val="center"/>
      </w:pPr>
      <w:r w:rsidRPr="36F21B7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>Attendance data</w:t>
      </w:r>
    </w:p>
    <w:p w14:paraId="0A39186B" w14:textId="77777777" w:rsidR="009E0D3D" w:rsidRPr="009E0D3D" w:rsidRDefault="009E0D3D" w:rsidP="009E0D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W w:w="7845" w:type="dxa"/>
        <w:tblInd w:w="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064"/>
        <w:gridCol w:w="2064"/>
        <w:gridCol w:w="2064"/>
      </w:tblGrid>
      <w:tr w:rsidR="00E23780" w:rsidRPr="009E0D3D" w14:paraId="287A1F35" w14:textId="0AA6D395" w:rsidTr="00E23780">
        <w:trPr>
          <w:trHeight w:val="389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BDA0" w14:textId="551BB3C0" w:rsidR="00E23780" w:rsidRPr="002A12A4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6176FF" w:rsidRPr="006176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  <w:r w:rsidR="008208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2A12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-Y6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C990" w14:textId="36481157" w:rsidR="00E23780" w:rsidRPr="00E23780" w:rsidRDefault="00E23780" w:rsidP="36F21B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378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2022/2023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50F40CE" w14:textId="7DE612BD" w:rsidR="00E23780" w:rsidRPr="009E0D3D" w:rsidRDefault="00E23780" w:rsidP="36F21B7F">
            <w:pPr>
              <w:spacing w:after="0" w:line="240" w:lineRule="auto"/>
              <w:jc w:val="center"/>
            </w:pPr>
            <w:r w:rsidRPr="36F21B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D0FA517" w14:textId="63BE1A76" w:rsidR="00E23780" w:rsidRPr="36F21B7F" w:rsidRDefault="00E23780" w:rsidP="36F2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2020-2021</w:t>
            </w:r>
          </w:p>
        </w:tc>
      </w:tr>
      <w:tr w:rsidR="00E23780" w:rsidRPr="009E0D3D" w14:paraId="5AB936B4" w14:textId="52C9F2E0" w:rsidTr="00E23780">
        <w:trPr>
          <w:trHeight w:val="393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FA02" w14:textId="10014A6A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Whole school 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B97E" w14:textId="0DD078F8" w:rsidR="00E23780" w:rsidRPr="007F1624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162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95.7%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FCBD677" w14:textId="55F506B0" w:rsidR="00E23780" w:rsidRPr="00C84A16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84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94.4%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8776074" w14:textId="118D3E6E" w:rsidR="00E23780" w:rsidRPr="00C84A16" w:rsidRDefault="007F338E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96.9%</w:t>
            </w:r>
          </w:p>
        </w:tc>
      </w:tr>
      <w:tr w:rsidR="00E23780" w:rsidRPr="009E0D3D" w14:paraId="41D69CBE" w14:textId="1A20DC18" w:rsidTr="00E23780">
        <w:trPr>
          <w:trHeight w:val="393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6DF0" w14:textId="1C908CBE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Girls 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EE97" w14:textId="35E05DC8" w:rsidR="00E23780" w:rsidRPr="008208FF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08F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95.8%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E77DCE6" w14:textId="1909E7AF" w:rsidR="00E23780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94.7%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9A83319" w14:textId="542FFEE6" w:rsidR="00E23780" w:rsidRDefault="007F338E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97.3%</w:t>
            </w:r>
          </w:p>
        </w:tc>
      </w:tr>
      <w:tr w:rsidR="00E23780" w:rsidRPr="009E0D3D" w14:paraId="4B606DBB" w14:textId="6B53D687" w:rsidTr="00E23780">
        <w:trPr>
          <w:trHeight w:val="37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005C" w14:textId="2F0C6173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3CF5" w14:textId="19EEA106" w:rsidR="00E23780" w:rsidRPr="008208FF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08F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95.5%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ADDAB45" w14:textId="0FDC0B02" w:rsidR="00E23780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94.2%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A59EC36" w14:textId="707B1420" w:rsidR="00E23780" w:rsidRDefault="000810B5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96.5%</w:t>
            </w:r>
          </w:p>
        </w:tc>
      </w:tr>
      <w:tr w:rsidR="00E23780" w:rsidRPr="009E0D3D" w14:paraId="6BD89AA3" w14:textId="67FD3870" w:rsidTr="00E23780">
        <w:trPr>
          <w:trHeight w:val="393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7EEB" w14:textId="5C1B7062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FSM6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4638" w14:textId="52B2743D" w:rsidR="00E23780" w:rsidRPr="008208FF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08F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93.9%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E7B1EBE" w14:textId="6BDDFFBC" w:rsidR="00E23780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92.5%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86B1220" w14:textId="5DBC738F" w:rsidR="00E23780" w:rsidRDefault="00A56F57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93.9%</w:t>
            </w:r>
          </w:p>
        </w:tc>
      </w:tr>
      <w:tr w:rsidR="00E23780" w:rsidRPr="009E0D3D" w14:paraId="5E64B772" w14:textId="242C27FB" w:rsidTr="00E23780">
        <w:trPr>
          <w:trHeight w:val="37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403F" w14:textId="31640B0C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 support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C865" w14:textId="7F657E4E" w:rsidR="00E23780" w:rsidRPr="008208FF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08F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93.9%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EC90381" w14:textId="5075961C" w:rsidR="00E23780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94.2%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D069309" w14:textId="0E0DDD51" w:rsidR="00E23780" w:rsidRDefault="0062614E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96.3%</w:t>
            </w:r>
          </w:p>
        </w:tc>
      </w:tr>
      <w:tr w:rsidR="00E23780" w:rsidRPr="009E0D3D" w14:paraId="39A71A8F" w14:textId="45366D2A" w:rsidTr="00E23780">
        <w:trPr>
          <w:trHeight w:val="371"/>
        </w:trPr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6F8D" w14:textId="721005B8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EHCP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37FA" w14:textId="21779D89" w:rsidR="00E23780" w:rsidRPr="008208FF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08F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93.4%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F92499" w14:textId="12A6A968" w:rsidR="00E23780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88.2%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06BDCC" w14:textId="44F02333" w:rsidR="00E23780" w:rsidRDefault="0062614E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E23780" w:rsidRPr="009E0D3D" w14:paraId="28CA5B08" w14:textId="0C3C3948" w:rsidTr="00E23780">
        <w:trPr>
          <w:trHeight w:val="478"/>
        </w:trPr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95E9" w14:textId="539E6B99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Authorised absence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9D04" w14:textId="454CFCF1" w:rsidR="00E23780" w:rsidRPr="008208FF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08F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3.5%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013E92" w14:textId="5750EB87" w:rsidR="00E23780" w:rsidRPr="009E0D3D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4.7%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6E32A1" w14:textId="41394F87" w:rsidR="00E23780" w:rsidRDefault="0062614E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2.4%</w:t>
            </w:r>
          </w:p>
        </w:tc>
      </w:tr>
      <w:tr w:rsidR="00E23780" w:rsidRPr="009E0D3D" w14:paraId="77B03BB5" w14:textId="346E8882" w:rsidTr="00E23780">
        <w:trPr>
          <w:trHeight w:val="371"/>
        </w:trPr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28E8" w14:textId="7F929D6D" w:rsidR="00E23780" w:rsidRPr="009E0D3D" w:rsidRDefault="00E23780" w:rsidP="004D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Unauthorised absence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3DB1" w14:textId="43467BFB" w:rsidR="00E23780" w:rsidRPr="007F1624" w:rsidRDefault="00E23780" w:rsidP="7D69B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162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0.8%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F11C49B" w14:textId="0B2D93E3" w:rsidR="00E23780" w:rsidRPr="009E0D3D" w:rsidRDefault="00E23780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F77A6BE" w14:textId="18C46A0F" w:rsidR="00E23780" w:rsidRDefault="0062614E" w:rsidP="004D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</w:tbl>
    <w:p w14:paraId="609A444B" w14:textId="77777777" w:rsidR="00F33E68" w:rsidRDefault="00F33E68" w:rsidP="7D69BB65">
      <w:pPr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02036059" w14:textId="77777777" w:rsidR="00F33E68" w:rsidRDefault="00F33E68" w:rsidP="7D69BB65">
      <w:pPr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0066FF71" w14:textId="77777777" w:rsidR="00F33E68" w:rsidRDefault="00F33E68" w:rsidP="7D69BB65">
      <w:pPr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7CFD52D" w14:textId="77777777" w:rsidR="00F33E68" w:rsidRDefault="00F33E68" w:rsidP="7D69BB65">
      <w:pPr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4E8347DA" w14:textId="77777777" w:rsidR="00F33E68" w:rsidRDefault="00F33E68" w:rsidP="7D69BB65">
      <w:pPr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4469DA53" w14:textId="77777777" w:rsidR="00C4113F" w:rsidRDefault="00C4113F" w:rsidP="7D69BB65">
      <w:pPr>
        <w:spacing w:after="20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2C3DAC04" w14:textId="6B29FA07" w:rsidR="006C78A2" w:rsidRPr="009E0D3D" w:rsidRDefault="006C78A2" w:rsidP="7D69BB6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7D69BB6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lastRenderedPageBreak/>
        <w:t>Persistence absence (below 90%):</w:t>
      </w:r>
    </w:p>
    <w:tbl>
      <w:tblPr>
        <w:tblW w:w="7845" w:type="dxa"/>
        <w:tblInd w:w="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064"/>
        <w:gridCol w:w="2064"/>
        <w:gridCol w:w="2064"/>
      </w:tblGrid>
      <w:tr w:rsidR="004029FE" w:rsidRPr="36F21B7F" w14:paraId="4833D69A" w14:textId="77777777" w:rsidTr="00266045">
        <w:trPr>
          <w:trHeight w:val="389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54C4" w14:textId="77777777" w:rsidR="004029FE" w:rsidRPr="002A12A4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Pr="006176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2A12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-Y6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B1E0" w14:textId="77777777" w:rsidR="004029FE" w:rsidRPr="00E23780" w:rsidRDefault="004029FE" w:rsidP="0026604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378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2022/2023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400D3F0" w14:textId="77777777" w:rsidR="004029FE" w:rsidRPr="009E0D3D" w:rsidRDefault="004029FE" w:rsidP="00266045">
            <w:pPr>
              <w:spacing w:after="0" w:line="240" w:lineRule="auto"/>
              <w:jc w:val="center"/>
            </w:pPr>
            <w:r w:rsidRPr="36F21B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2021-2022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CF77CE" w14:textId="77777777" w:rsidR="004029FE" w:rsidRPr="36F21B7F" w:rsidRDefault="004029FE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2020-2021</w:t>
            </w:r>
          </w:p>
        </w:tc>
      </w:tr>
      <w:tr w:rsidR="004029FE" w:rsidRPr="00C84A16" w14:paraId="2E003078" w14:textId="77777777" w:rsidTr="00266045">
        <w:trPr>
          <w:trHeight w:val="393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B7B4" w14:textId="77777777" w:rsidR="004029FE" w:rsidRPr="009E0D3D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Whole school 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1B20" w14:textId="796C26E2" w:rsidR="004029FE" w:rsidRPr="007F1624" w:rsidRDefault="004029FE" w:rsidP="00266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7.1%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97D974E" w14:textId="5B3DE70B" w:rsidR="004029FE" w:rsidRPr="00C84A16" w:rsidRDefault="00D76383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2226EC3" w14:textId="545E314D" w:rsidR="004029FE" w:rsidRPr="00C84A16" w:rsidRDefault="00D76383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4.3%</w:t>
            </w:r>
          </w:p>
        </w:tc>
      </w:tr>
      <w:tr w:rsidR="004029FE" w14:paraId="47663C26" w14:textId="77777777" w:rsidTr="00266045">
        <w:trPr>
          <w:trHeight w:val="393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285C" w14:textId="77777777" w:rsidR="004029FE" w:rsidRPr="009E0D3D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Girls 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372D" w14:textId="7CDC8B16" w:rsidR="004029FE" w:rsidRPr="008208FF" w:rsidRDefault="00951904" w:rsidP="00266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8.3%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6368673" w14:textId="51CE89AD" w:rsidR="004029FE" w:rsidRDefault="00951904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12.3%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4D0C019" w14:textId="4AE91755" w:rsidR="004029FE" w:rsidRDefault="00D76383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5.0%</w:t>
            </w:r>
          </w:p>
        </w:tc>
      </w:tr>
      <w:tr w:rsidR="004029FE" w14:paraId="636D3B6A" w14:textId="77777777" w:rsidTr="00266045">
        <w:trPr>
          <w:trHeight w:val="37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5911" w14:textId="77777777" w:rsidR="004029FE" w:rsidRPr="009E0D3D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C427" w14:textId="03E2E2E4" w:rsidR="004029FE" w:rsidRPr="008208FF" w:rsidRDefault="00951904" w:rsidP="00266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5.9%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8B10A5A" w14:textId="1E403430" w:rsidR="004029FE" w:rsidRDefault="004B5439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10.7%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AE6CDAD" w14:textId="317F596D" w:rsidR="004029FE" w:rsidRDefault="004B5439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3.6%</w:t>
            </w:r>
          </w:p>
        </w:tc>
      </w:tr>
      <w:tr w:rsidR="004029FE" w14:paraId="7F232524" w14:textId="77777777" w:rsidTr="00266045">
        <w:trPr>
          <w:trHeight w:val="393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3BFA" w14:textId="77777777" w:rsidR="004029FE" w:rsidRPr="009E0D3D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FSM6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EA4A" w14:textId="3295859C" w:rsidR="004029FE" w:rsidRPr="008208FF" w:rsidRDefault="00560B97" w:rsidP="00266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17.5%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3231E7B" w14:textId="7555802E" w:rsidR="004029FE" w:rsidRDefault="003E2158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19.4%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555296E" w14:textId="1685FAC1" w:rsidR="004029FE" w:rsidRDefault="003E2158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</w:tr>
      <w:tr w:rsidR="004029FE" w14:paraId="3FCB3154" w14:textId="77777777" w:rsidTr="00266045">
        <w:trPr>
          <w:trHeight w:val="371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E186" w14:textId="77777777" w:rsidR="004029FE" w:rsidRPr="009E0D3D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 support</w:t>
            </w: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8682" w14:textId="5DEFE5E7" w:rsidR="004029FE" w:rsidRPr="008208FF" w:rsidRDefault="00560B97" w:rsidP="00266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17.1%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1A0DEE1" w14:textId="68ED4A9E" w:rsidR="004029FE" w:rsidRDefault="002B3ADF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17.9%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932A52" w14:textId="191B0FC0" w:rsidR="004029FE" w:rsidRDefault="002B3ADF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13.6%</w:t>
            </w:r>
          </w:p>
        </w:tc>
      </w:tr>
      <w:tr w:rsidR="004029FE" w14:paraId="472D4440" w14:textId="77777777" w:rsidTr="00266045">
        <w:trPr>
          <w:trHeight w:val="371"/>
        </w:trPr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3D6D" w14:textId="77777777" w:rsidR="004029FE" w:rsidRPr="009E0D3D" w:rsidRDefault="004029FE" w:rsidP="0026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E0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EHCP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7D99" w14:textId="02249145" w:rsidR="004029FE" w:rsidRPr="008208FF" w:rsidRDefault="00670EC4" w:rsidP="0026604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2C524A" w14:textId="4FE5BB10" w:rsidR="004029FE" w:rsidRDefault="00670EC4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33.3%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5DB674" w14:textId="3B463B18" w:rsidR="004029FE" w:rsidRDefault="00670EC4" w:rsidP="0026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14:paraId="4FA37FEB" w14:textId="038C7AC5" w:rsidR="008D0BAE" w:rsidRDefault="008D0BAE" w:rsidP="7D69B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67211EE9" w14:textId="51B15574" w:rsidR="003D4401" w:rsidRPr="009E0D3D" w:rsidRDefault="003D4401" w:rsidP="7D69B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52D0C3A" w14:textId="56079127" w:rsidR="003D4401" w:rsidRPr="00AE5617" w:rsidRDefault="00F33E68" w:rsidP="7D69BB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561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>SPECIFIC CODES</w:t>
      </w:r>
    </w:p>
    <w:p w14:paraId="7C3AD48C" w14:textId="77777777" w:rsidR="003D4401" w:rsidRPr="00AE5617" w:rsidRDefault="003D4401" w:rsidP="003D44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6969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345"/>
        <w:gridCol w:w="2654"/>
      </w:tblGrid>
      <w:tr w:rsidR="00AE5617" w:rsidRPr="00AE5617" w14:paraId="20C51572" w14:textId="5288B69C" w:rsidTr="00AE5617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0A00" w14:textId="77777777" w:rsidR="00AE5617" w:rsidRPr="00AE5617" w:rsidRDefault="00AE5617" w:rsidP="0073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6A1FD3" w14:textId="77777777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Academic year</w:t>
            </w:r>
            <w:r w:rsidRPr="00AE56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54C0C8AC" w14:textId="2A35CDAD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2022-2023</w:t>
            </w:r>
            <w:r w:rsidRPr="00AE56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80187AE" w14:textId="6D46EB61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Academic year</w:t>
            </w: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5DBEE46B" w14:textId="77777777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2021-2022</w:t>
            </w: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617" w:rsidRPr="00AE5617" w14:paraId="56FEA72B" w14:textId="697B60DE" w:rsidTr="00AE5617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7953" w14:textId="7AC4630B" w:rsidR="00AE5617" w:rsidRPr="00AE5617" w:rsidRDefault="00AE5617" w:rsidP="0073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(illness)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A5D3B5B" w14:textId="77777777" w:rsidR="00AE5617" w:rsidRPr="00CE719A" w:rsidRDefault="005356E5" w:rsidP="00733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1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 pupils</w:t>
            </w:r>
          </w:p>
          <w:p w14:paraId="56DF3CB4" w14:textId="6731A186" w:rsidR="005356E5" w:rsidRPr="00CE719A" w:rsidRDefault="005356E5" w:rsidP="007339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1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2893 sessions</w:t>
            </w:r>
          </w:p>
        </w:tc>
        <w:tc>
          <w:tcPr>
            <w:tcW w:w="26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42120A" w14:textId="0C8EA1BB" w:rsidR="00AE5617" w:rsidRPr="00AE5617" w:rsidRDefault="00AE5617" w:rsidP="007339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5617">
              <w:rPr>
                <w:rFonts w:ascii="Arial" w:hAnsi="Arial" w:cs="Arial"/>
                <w:color w:val="000000"/>
                <w:sz w:val="18"/>
                <w:szCs w:val="18"/>
              </w:rPr>
              <w:t>262 pupils</w:t>
            </w:r>
          </w:p>
          <w:p w14:paraId="1B8E3A5E" w14:textId="5276DE7C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Arial" w:hAnsi="Arial" w:cs="Arial"/>
                <w:color w:val="000000"/>
                <w:sz w:val="18"/>
                <w:szCs w:val="18"/>
              </w:rPr>
              <w:t>4212 sessions</w:t>
            </w:r>
          </w:p>
        </w:tc>
      </w:tr>
      <w:tr w:rsidR="00AE5617" w:rsidRPr="00AE5617" w14:paraId="77107C26" w14:textId="7D2718D9" w:rsidTr="00AE5617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F2F1" w14:textId="314803A6" w:rsidR="00AE5617" w:rsidRPr="00AE5617" w:rsidRDefault="00AE5617" w:rsidP="0073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  (</w:t>
            </w:r>
            <w:proofErr w:type="gramEnd"/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Medical)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9C7028" w14:textId="77777777" w:rsidR="00AE5617" w:rsidRPr="00CE719A" w:rsidRDefault="005356E5" w:rsidP="00733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98 pupils</w:t>
            </w:r>
          </w:p>
          <w:p w14:paraId="61DAA46A" w14:textId="606DDE31" w:rsidR="005356E5" w:rsidRPr="00CE719A" w:rsidRDefault="005356E5" w:rsidP="00733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241 sessions</w:t>
            </w:r>
          </w:p>
        </w:tc>
        <w:tc>
          <w:tcPr>
            <w:tcW w:w="26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6E517" w14:textId="44A0A4AF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 pupils</w:t>
            </w:r>
          </w:p>
          <w:p w14:paraId="7D3EBCA9" w14:textId="24AD0509" w:rsidR="00AE5617" w:rsidRPr="00AE5617" w:rsidRDefault="00AE5617" w:rsidP="0073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244 sessions</w:t>
            </w:r>
          </w:p>
        </w:tc>
      </w:tr>
      <w:tr w:rsidR="00AE5617" w:rsidRPr="00AE5617" w14:paraId="44CEC892" w14:textId="77777777" w:rsidTr="00AE5617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2BA9" w14:textId="3E5E2AF6" w:rsidR="00AE5617" w:rsidRPr="00AE5617" w:rsidRDefault="00AE5617" w:rsidP="00D5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</w:t>
            </w:r>
            <w:proofErr w:type="gramStart"/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  (</w:t>
            </w:r>
            <w:proofErr w:type="gramEnd"/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Late before 9:15am)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FBCC28" w14:textId="1AC662EE" w:rsidR="00AE5617" w:rsidRPr="00CE719A" w:rsidRDefault="00CE719A" w:rsidP="00D5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106 pupils</w:t>
            </w:r>
          </w:p>
        </w:tc>
        <w:tc>
          <w:tcPr>
            <w:tcW w:w="26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95A5E" w14:textId="77777777" w:rsidR="00AE5617" w:rsidRPr="00AE5617" w:rsidRDefault="00AE5617" w:rsidP="00D53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 pupils</w:t>
            </w:r>
          </w:p>
          <w:p w14:paraId="66D40B99" w14:textId="77777777" w:rsidR="00AE5617" w:rsidRPr="00AE5617" w:rsidRDefault="00AE5617" w:rsidP="00D53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E5617" w:rsidRPr="00D9369D" w14:paraId="28B3203C" w14:textId="77777777" w:rsidTr="00AE5617">
        <w:trPr>
          <w:trHeight w:val="300"/>
        </w:trPr>
        <w:tc>
          <w:tcPr>
            <w:tcW w:w="1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C7BC" w14:textId="4CBC43E6" w:rsidR="00AE5617" w:rsidRPr="00AE5617" w:rsidRDefault="00AE5617" w:rsidP="00D5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 (late after 9:15am)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732468" w14:textId="1E75D5F8" w:rsidR="00AE5617" w:rsidRPr="00CE719A" w:rsidRDefault="00CE719A" w:rsidP="00D5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 pupils (1 persistent)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62D24" w14:textId="77777777" w:rsidR="00AE5617" w:rsidRPr="00AE5617" w:rsidRDefault="00AE5617" w:rsidP="00D53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5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pupils (1 persistent)</w:t>
            </w:r>
          </w:p>
          <w:p w14:paraId="12486A99" w14:textId="77777777" w:rsidR="00AE5617" w:rsidRPr="00AE5617" w:rsidRDefault="00AE5617" w:rsidP="00D53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645A83C" w14:textId="77777777" w:rsidR="003D4401" w:rsidRPr="00D9369D" w:rsidRDefault="003D4401" w:rsidP="009E0D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u w:val="single"/>
          <w:lang w:eastAsia="en-GB"/>
        </w:rPr>
      </w:pPr>
    </w:p>
    <w:p w14:paraId="1E3D9AF3" w14:textId="77777777" w:rsidR="009E0D3D" w:rsidRPr="00D9369D" w:rsidRDefault="009E0D3D" w:rsidP="00D53F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</w:pPr>
    </w:p>
    <w:p w14:paraId="2BC75663" w14:textId="66F4D14A" w:rsidR="008B0044" w:rsidRPr="00A81A95" w:rsidRDefault="006967BB" w:rsidP="00D53FE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GB"/>
        </w:rPr>
      </w:pPr>
      <w:r w:rsidRPr="00A81A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Holidays </w:t>
      </w:r>
    </w:p>
    <w:p w14:paraId="64898363" w14:textId="41DADD6F" w:rsidR="006967BB" w:rsidRPr="00A81A95" w:rsidRDefault="006967BB" w:rsidP="009E0D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A81A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NO HOLIDAYS HAVE BEEN AUTHORISED</w:t>
      </w:r>
      <w:r w:rsidR="008B0044" w:rsidRPr="00A81A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THIS ACADEMIC YEAR</w:t>
      </w:r>
    </w:p>
    <w:p w14:paraId="5A9515D7" w14:textId="77777777" w:rsidR="009E0D3D" w:rsidRPr="00A81A95" w:rsidRDefault="009E0D3D" w:rsidP="009E0D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W w:w="7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506"/>
        <w:gridCol w:w="2506"/>
      </w:tblGrid>
      <w:tr w:rsidR="00AE5617" w:rsidRPr="00A81A95" w14:paraId="3BD63D0A" w14:textId="3135868F" w:rsidTr="00AE5617">
        <w:trPr>
          <w:trHeight w:val="30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57D2" w14:textId="77777777" w:rsidR="00AE5617" w:rsidRPr="00A81A95" w:rsidRDefault="00AE5617" w:rsidP="0067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456FB827" w14:textId="77777777" w:rsidR="00AE5617" w:rsidRPr="00A81A95" w:rsidRDefault="00AE5617" w:rsidP="00675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 CODE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F752B27" w14:textId="77777777" w:rsidR="00AE5617" w:rsidRPr="00A81A95" w:rsidRDefault="00AE5617" w:rsidP="0067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Academic year</w:t>
            </w:r>
            <w:r w:rsidRPr="00A8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6F0AD450" w14:textId="6D05483D" w:rsidR="00AE5617" w:rsidRPr="00A81A95" w:rsidRDefault="00AE5617" w:rsidP="0067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2022-2023</w:t>
            </w:r>
            <w:r w:rsidRPr="00A81A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3C4F" w14:textId="77777777" w:rsidR="00AE5617" w:rsidRPr="00A81A95" w:rsidRDefault="00AE5617" w:rsidP="0067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Academic year</w:t>
            </w: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00EFA817" w14:textId="795998DC" w:rsidR="00AE5617" w:rsidRPr="00A81A95" w:rsidRDefault="00AE5617" w:rsidP="0067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2021-2022</w:t>
            </w: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617" w:rsidRPr="00A81A95" w14:paraId="006C0B99" w14:textId="3F0E984A" w:rsidTr="00AE5617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6E65" w14:textId="525B6A38" w:rsidR="00AE5617" w:rsidRPr="00A81A95" w:rsidRDefault="00AE5617" w:rsidP="0085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Unauthorised holidays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C5D414B" w14:textId="77777777" w:rsidR="00AE5617" w:rsidRPr="00A81A95" w:rsidRDefault="00A81A95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68 pupils </w:t>
            </w:r>
          </w:p>
          <w:p w14:paraId="2714FFFF" w14:textId="79A78704" w:rsidR="00A81A95" w:rsidRPr="00A81A95" w:rsidRDefault="00A81A95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688 sessions</w:t>
            </w:r>
          </w:p>
        </w:tc>
        <w:tc>
          <w:tcPr>
            <w:tcW w:w="250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10DA" w14:textId="50109445" w:rsidR="00AE5617" w:rsidRPr="00A81A95" w:rsidRDefault="00AE5617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 pupils</w:t>
            </w:r>
          </w:p>
          <w:p w14:paraId="36C7D04A" w14:textId="17464B5A" w:rsidR="00AE5617" w:rsidRPr="00A81A95" w:rsidRDefault="00AE5617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522 sessions</w:t>
            </w:r>
          </w:p>
        </w:tc>
      </w:tr>
      <w:tr w:rsidR="00AE5617" w:rsidRPr="009E0D3D" w14:paraId="34D46AD8" w14:textId="296D32CA" w:rsidTr="00AE5617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9019" w14:textId="77777777" w:rsidR="00AE5617" w:rsidRPr="00A81A95" w:rsidRDefault="00AE5617" w:rsidP="0085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B306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Fixed penalty Notices: 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CF8FAAA" w14:textId="293BA048" w:rsidR="00AE5617" w:rsidRPr="00A81A95" w:rsidRDefault="00B306D5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B306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0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ECAC" w14:textId="1C41A238" w:rsidR="00AE5617" w:rsidRPr="009E0D3D" w:rsidRDefault="00AE5617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1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  <w:p w14:paraId="23053C68" w14:textId="77777777" w:rsidR="00AE5617" w:rsidRPr="009E0D3D" w:rsidRDefault="00AE5617" w:rsidP="008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97A6EFA" w14:textId="67EA507B" w:rsidR="006C78A2" w:rsidRDefault="006C78A2" w:rsidP="7D69BB65">
      <w:pPr>
        <w:rPr>
          <w:b/>
          <w:bCs/>
          <w:sz w:val="20"/>
          <w:szCs w:val="20"/>
          <w:u w:val="single"/>
          <w:lang w:val="en-US"/>
        </w:rPr>
      </w:pPr>
    </w:p>
    <w:p w14:paraId="2625D606" w14:textId="77777777" w:rsidR="006757C6" w:rsidRDefault="006757C6" w:rsidP="5C133A22">
      <w:pPr>
        <w:rPr>
          <w:b/>
          <w:bCs/>
          <w:sz w:val="20"/>
          <w:szCs w:val="20"/>
          <w:u w:val="single"/>
          <w:lang w:val="en-US"/>
        </w:rPr>
      </w:pPr>
    </w:p>
    <w:p w14:paraId="347A38EB" w14:textId="77777777" w:rsidR="00366DB7" w:rsidRDefault="00366DB7" w:rsidP="5C133A22">
      <w:pPr>
        <w:rPr>
          <w:sz w:val="20"/>
          <w:szCs w:val="20"/>
          <w:u w:val="single"/>
          <w:lang w:val="en-US"/>
        </w:rPr>
      </w:pPr>
    </w:p>
    <w:p w14:paraId="555F0E4A" w14:textId="77777777" w:rsidR="00366DB7" w:rsidRDefault="00366DB7" w:rsidP="5C133A22">
      <w:pPr>
        <w:rPr>
          <w:sz w:val="20"/>
          <w:szCs w:val="20"/>
          <w:u w:val="single"/>
          <w:lang w:val="en-US"/>
        </w:rPr>
      </w:pPr>
    </w:p>
    <w:p w14:paraId="276179A8" w14:textId="77777777" w:rsidR="00366DB7" w:rsidRDefault="00366DB7" w:rsidP="5C133A22">
      <w:pPr>
        <w:rPr>
          <w:sz w:val="20"/>
          <w:szCs w:val="20"/>
          <w:u w:val="single"/>
          <w:lang w:val="en-US"/>
        </w:rPr>
      </w:pPr>
    </w:p>
    <w:p w14:paraId="43A303FF" w14:textId="77777777" w:rsidR="00366DB7" w:rsidRDefault="00366DB7" w:rsidP="5C133A22">
      <w:pPr>
        <w:rPr>
          <w:sz w:val="20"/>
          <w:szCs w:val="20"/>
          <w:u w:val="single"/>
          <w:lang w:val="en-US"/>
        </w:rPr>
      </w:pPr>
    </w:p>
    <w:p w14:paraId="4E11DE4B" w14:textId="77777777" w:rsidR="00366DB7" w:rsidRDefault="00366DB7" w:rsidP="5C133A22">
      <w:pPr>
        <w:rPr>
          <w:sz w:val="20"/>
          <w:szCs w:val="20"/>
          <w:u w:val="single"/>
          <w:lang w:val="en-US"/>
        </w:rPr>
      </w:pPr>
    </w:p>
    <w:p w14:paraId="2B631DAB" w14:textId="5B86665D" w:rsidR="432290E8" w:rsidRPr="00D9369D" w:rsidRDefault="432290E8" w:rsidP="5C133A22">
      <w:pPr>
        <w:rPr>
          <w:sz w:val="19"/>
          <w:szCs w:val="19"/>
          <w:u w:val="single"/>
          <w:lang w:val="en-US"/>
        </w:rPr>
      </w:pPr>
      <w:r w:rsidRPr="00D9369D">
        <w:rPr>
          <w:sz w:val="19"/>
          <w:szCs w:val="19"/>
          <w:u w:val="single"/>
          <w:lang w:val="en-US"/>
        </w:rPr>
        <w:lastRenderedPageBreak/>
        <w:t>Strengths</w:t>
      </w:r>
      <w:r w:rsidRPr="00D9369D">
        <w:rPr>
          <w:sz w:val="19"/>
          <w:szCs w:val="19"/>
          <w:lang w:val="en-US"/>
        </w:rPr>
        <w:t xml:space="preserve"> </w:t>
      </w:r>
    </w:p>
    <w:p w14:paraId="197A909F" w14:textId="03298D9C" w:rsidR="432290E8" w:rsidRPr="00D9369D" w:rsidRDefault="432290E8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</w:t>
      </w:r>
      <w:r w:rsidR="4CB555F1" w:rsidRPr="00D9369D">
        <w:rPr>
          <w:sz w:val="19"/>
          <w:szCs w:val="19"/>
          <w:lang w:val="en-US"/>
        </w:rPr>
        <w:t>R</w:t>
      </w:r>
      <w:r w:rsidRPr="00D9369D">
        <w:rPr>
          <w:sz w:val="19"/>
          <w:szCs w:val="19"/>
          <w:lang w:val="en-US"/>
        </w:rPr>
        <w:t>obust monitoring in place-weekly spreadsheet monitoring all pupils under 9</w:t>
      </w:r>
      <w:r w:rsidR="464EBF8D" w:rsidRPr="00D9369D">
        <w:rPr>
          <w:sz w:val="19"/>
          <w:szCs w:val="19"/>
          <w:lang w:val="en-US"/>
        </w:rPr>
        <w:t>6% with more of a focus under 94%</w:t>
      </w:r>
      <w:r w:rsidR="442B9A87" w:rsidRPr="00D9369D">
        <w:rPr>
          <w:sz w:val="19"/>
          <w:szCs w:val="19"/>
          <w:lang w:val="en-US"/>
        </w:rPr>
        <w:t>. Where improvement is slow or there is a decline, this is quickly identified and followed up (currently HT is meeting with parents)</w:t>
      </w:r>
    </w:p>
    <w:p w14:paraId="2011450B" w14:textId="3F56B195" w:rsidR="442B9A87" w:rsidRPr="00D9369D" w:rsidRDefault="442B9A87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</w:t>
      </w:r>
      <w:r w:rsidR="0073711B" w:rsidRPr="00D9369D">
        <w:rPr>
          <w:sz w:val="19"/>
          <w:szCs w:val="19"/>
          <w:lang w:val="en-US"/>
        </w:rPr>
        <w:t>There was no absence under 70%</w:t>
      </w:r>
    </w:p>
    <w:p w14:paraId="46454D78" w14:textId="6137956F" w:rsidR="0073711B" w:rsidRPr="00D9369D" w:rsidRDefault="0073711B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 xml:space="preserve">*Attendance information and guidance is </w:t>
      </w:r>
      <w:r w:rsidR="0061412C" w:rsidRPr="00D9369D">
        <w:rPr>
          <w:sz w:val="19"/>
          <w:szCs w:val="19"/>
          <w:lang w:val="en-US"/>
        </w:rPr>
        <w:t>clear, comprehensive, and up to date on the website</w:t>
      </w:r>
    </w:p>
    <w:p w14:paraId="1AFB0371" w14:textId="5839FE6A" w:rsidR="3850C330" w:rsidRPr="00D9369D" w:rsidRDefault="3850C330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*Overall attendance is above the current national average (DfE data)</w:t>
      </w:r>
    </w:p>
    <w:p w14:paraId="0D4AC264" w14:textId="3A4FBB76" w:rsidR="3850C330" w:rsidRPr="00D9369D" w:rsidRDefault="3850C330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 xml:space="preserve">*Persistent absence is </w:t>
      </w:r>
      <w:r w:rsidR="008C0832" w:rsidRPr="00D9369D">
        <w:rPr>
          <w:sz w:val="19"/>
          <w:szCs w:val="19"/>
          <w:lang w:val="en-US"/>
        </w:rPr>
        <w:t>much r</w:t>
      </w:r>
      <w:r w:rsidRPr="00D9369D">
        <w:rPr>
          <w:sz w:val="19"/>
          <w:szCs w:val="19"/>
          <w:lang w:val="en-US"/>
        </w:rPr>
        <w:t>educed compared to last year and is below the national average</w:t>
      </w:r>
    </w:p>
    <w:p w14:paraId="2D26C582" w14:textId="325E73CE" w:rsidR="2D77ECBC" w:rsidRPr="00D9369D" w:rsidRDefault="2D77ECBC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*Good attendance is rewarded and celebrated in every assembly and individually at the end of each term</w:t>
      </w:r>
    </w:p>
    <w:p w14:paraId="2CB5080F" w14:textId="43208906" w:rsidR="00584D76" w:rsidRPr="00D9369D" w:rsidRDefault="2D77ECBC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*Up to date policy in-line with current</w:t>
      </w:r>
      <w:r w:rsidR="00F422EF" w:rsidRPr="00D9369D">
        <w:rPr>
          <w:sz w:val="19"/>
          <w:szCs w:val="19"/>
          <w:lang w:val="en-US"/>
        </w:rPr>
        <w:t xml:space="preserve"> DfE and </w:t>
      </w:r>
      <w:r w:rsidRPr="00D9369D">
        <w:rPr>
          <w:sz w:val="19"/>
          <w:szCs w:val="19"/>
          <w:lang w:val="en-US"/>
        </w:rPr>
        <w:t>local authority guidance</w:t>
      </w:r>
    </w:p>
    <w:p w14:paraId="7CD0797D" w14:textId="3B79EBB5" w:rsidR="2D77ECBC" w:rsidRPr="00D9369D" w:rsidRDefault="00584D76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 Regular</w:t>
      </w:r>
      <w:r w:rsidR="2D77ECBC" w:rsidRPr="00D9369D">
        <w:rPr>
          <w:sz w:val="19"/>
          <w:szCs w:val="19"/>
          <w:lang w:val="en-US"/>
        </w:rPr>
        <w:t xml:space="preserve"> reports</w:t>
      </w:r>
      <w:r w:rsidRPr="00D9369D">
        <w:rPr>
          <w:sz w:val="19"/>
          <w:szCs w:val="19"/>
          <w:lang w:val="en-US"/>
        </w:rPr>
        <w:t xml:space="preserve"> are</w:t>
      </w:r>
      <w:r w:rsidR="2D77ECBC" w:rsidRPr="00D9369D">
        <w:rPr>
          <w:sz w:val="19"/>
          <w:szCs w:val="19"/>
          <w:lang w:val="en-US"/>
        </w:rPr>
        <w:t xml:space="preserve"> provided for staff and governors</w:t>
      </w:r>
      <w:r w:rsidR="00F422EF" w:rsidRPr="00D9369D">
        <w:rPr>
          <w:sz w:val="19"/>
          <w:szCs w:val="19"/>
          <w:lang w:val="en-US"/>
        </w:rPr>
        <w:t xml:space="preserve"> </w:t>
      </w:r>
      <w:r w:rsidRPr="00D9369D">
        <w:rPr>
          <w:sz w:val="19"/>
          <w:szCs w:val="19"/>
          <w:lang w:val="en-US"/>
        </w:rPr>
        <w:t xml:space="preserve">detailing overall attendance, comparative data and </w:t>
      </w:r>
      <w:r w:rsidR="000F395C" w:rsidRPr="00D9369D">
        <w:rPr>
          <w:sz w:val="19"/>
          <w:szCs w:val="19"/>
          <w:lang w:val="en-US"/>
        </w:rPr>
        <w:t>concerns</w:t>
      </w:r>
    </w:p>
    <w:p w14:paraId="1ED53E39" w14:textId="008C3EC9" w:rsidR="2D77ECBC" w:rsidRPr="00D9369D" w:rsidRDefault="2D77ECBC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</w:t>
      </w:r>
      <w:r w:rsidR="000F395C" w:rsidRPr="00D9369D">
        <w:rPr>
          <w:sz w:val="19"/>
          <w:szCs w:val="19"/>
          <w:lang w:val="en-US"/>
        </w:rPr>
        <w:t>Robust systems are in place in the office regarding admissions and the registers</w:t>
      </w:r>
    </w:p>
    <w:p w14:paraId="704BE810" w14:textId="3BE7BD72" w:rsidR="5C408E0F" w:rsidRPr="00D9369D" w:rsidRDefault="5C408E0F" w:rsidP="5C133A22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*Attendance is everyone's’ responsibility in school and is always shared at meetings and on reports</w:t>
      </w:r>
    </w:p>
    <w:p w14:paraId="329C7A06" w14:textId="77777777" w:rsidR="003531C3" w:rsidRPr="00D9369D" w:rsidRDefault="003531C3" w:rsidP="003531C3">
      <w:pPr>
        <w:rPr>
          <w:sz w:val="19"/>
          <w:szCs w:val="19"/>
          <w:u w:val="single"/>
          <w:lang w:val="en-US"/>
        </w:rPr>
      </w:pPr>
      <w:r w:rsidRPr="00D9369D">
        <w:rPr>
          <w:sz w:val="19"/>
          <w:szCs w:val="19"/>
          <w:u w:val="single"/>
          <w:lang w:val="en-US"/>
        </w:rPr>
        <w:t>IMPACT</w:t>
      </w:r>
    </w:p>
    <w:p w14:paraId="3801FD57" w14:textId="0439A3B8" w:rsidR="003531C3" w:rsidRPr="00D9369D" w:rsidRDefault="003531C3" w:rsidP="003531C3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 xml:space="preserve">-Governors and staff are aware of attendance guidance and </w:t>
      </w:r>
      <w:r w:rsidR="00105D80" w:rsidRPr="00D9369D">
        <w:rPr>
          <w:sz w:val="19"/>
          <w:szCs w:val="19"/>
          <w:lang w:val="en-US"/>
        </w:rPr>
        <w:t>of the school’s data and work linked to attendance</w:t>
      </w:r>
    </w:p>
    <w:p w14:paraId="3F60BF2F" w14:textId="1DD51A95" w:rsidR="003531C3" w:rsidRPr="00D9369D" w:rsidRDefault="003531C3" w:rsidP="003531C3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-</w:t>
      </w:r>
      <w:r w:rsidR="00945D47" w:rsidRPr="00D9369D">
        <w:rPr>
          <w:sz w:val="19"/>
          <w:szCs w:val="19"/>
          <w:lang w:val="en-US"/>
        </w:rPr>
        <w:t>R</w:t>
      </w:r>
      <w:r w:rsidRPr="00D9369D">
        <w:rPr>
          <w:sz w:val="19"/>
          <w:szCs w:val="19"/>
          <w:lang w:val="en-US"/>
        </w:rPr>
        <w:t>obust systems are in place with regards to following up on the day, for those who are persistent absentees</w:t>
      </w:r>
      <w:r w:rsidR="00945D47" w:rsidRPr="00D9369D">
        <w:rPr>
          <w:sz w:val="19"/>
          <w:szCs w:val="19"/>
          <w:lang w:val="en-US"/>
        </w:rPr>
        <w:t xml:space="preserve"> which has meant </w:t>
      </w:r>
      <w:r w:rsidRPr="00D9369D">
        <w:rPr>
          <w:sz w:val="19"/>
          <w:szCs w:val="19"/>
          <w:lang w:val="en-US"/>
        </w:rPr>
        <w:t xml:space="preserve">this </w:t>
      </w:r>
      <w:r w:rsidR="00945D47" w:rsidRPr="00D9369D">
        <w:rPr>
          <w:sz w:val="19"/>
          <w:szCs w:val="19"/>
          <w:lang w:val="en-US"/>
        </w:rPr>
        <w:t>percentage</w:t>
      </w:r>
      <w:r w:rsidRPr="00D9369D">
        <w:rPr>
          <w:sz w:val="19"/>
          <w:szCs w:val="19"/>
          <w:lang w:val="en-US"/>
        </w:rPr>
        <w:t xml:space="preserve"> has continued to fall</w:t>
      </w:r>
      <w:r w:rsidR="00B92AAC" w:rsidRPr="00D9369D">
        <w:rPr>
          <w:sz w:val="19"/>
          <w:szCs w:val="19"/>
          <w:lang w:val="en-US"/>
        </w:rPr>
        <w:t xml:space="preserve"> and support has been put in place where needed.</w:t>
      </w:r>
    </w:p>
    <w:p w14:paraId="7D9339F9" w14:textId="71D442E7" w:rsidR="003531C3" w:rsidRPr="00D9369D" w:rsidRDefault="003531C3" w:rsidP="003531C3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-Staff are aware about w</w:t>
      </w:r>
      <w:r w:rsidR="00C45899" w:rsidRPr="00D9369D">
        <w:rPr>
          <w:sz w:val="19"/>
          <w:szCs w:val="19"/>
          <w:lang w:val="en-US"/>
        </w:rPr>
        <w:t>hich pupils are</w:t>
      </w:r>
      <w:r w:rsidRPr="00D9369D">
        <w:rPr>
          <w:sz w:val="19"/>
          <w:szCs w:val="19"/>
          <w:lang w:val="en-US"/>
        </w:rPr>
        <w:t xml:space="preserve"> attendance concerns and about their responsibility regarding attendance</w:t>
      </w:r>
      <w:r w:rsidR="00D43D7D" w:rsidRPr="00D9369D">
        <w:rPr>
          <w:sz w:val="19"/>
          <w:szCs w:val="19"/>
          <w:lang w:val="en-US"/>
        </w:rPr>
        <w:t xml:space="preserve"> which has led to better information sharing and monitoring of those pupils as well as </w:t>
      </w:r>
      <w:r w:rsidR="002E440F" w:rsidRPr="00D9369D">
        <w:rPr>
          <w:sz w:val="19"/>
          <w:szCs w:val="19"/>
          <w:lang w:val="en-US"/>
        </w:rPr>
        <w:t>providing support for those pupils who need it</w:t>
      </w:r>
      <w:r w:rsidR="00152EEC" w:rsidRPr="00D9369D">
        <w:rPr>
          <w:sz w:val="19"/>
          <w:szCs w:val="19"/>
          <w:lang w:val="en-US"/>
        </w:rPr>
        <w:t xml:space="preserve"> as well as preventing further absence.</w:t>
      </w:r>
    </w:p>
    <w:p w14:paraId="142405BD" w14:textId="6B02DB24" w:rsidR="003531C3" w:rsidRPr="00D9369D" w:rsidRDefault="003531C3" w:rsidP="003531C3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 xml:space="preserve">-There is a high profile of what good attendance is across the school </w:t>
      </w:r>
      <w:r w:rsidR="002E440F" w:rsidRPr="00D9369D">
        <w:rPr>
          <w:sz w:val="19"/>
          <w:szCs w:val="19"/>
          <w:lang w:val="en-US"/>
        </w:rPr>
        <w:t xml:space="preserve">and overall school attendance has improved </w:t>
      </w:r>
      <w:r w:rsidR="00837BDA" w:rsidRPr="00D9369D">
        <w:rPr>
          <w:sz w:val="19"/>
          <w:szCs w:val="19"/>
          <w:lang w:val="en-US"/>
        </w:rPr>
        <w:t>over the year and compared to 2021-2022</w:t>
      </w:r>
      <w:r w:rsidRPr="00D9369D">
        <w:rPr>
          <w:sz w:val="19"/>
          <w:szCs w:val="19"/>
          <w:lang w:val="en-US"/>
        </w:rPr>
        <w:t xml:space="preserve"> </w:t>
      </w:r>
    </w:p>
    <w:p w14:paraId="32A82D75" w14:textId="1137044E" w:rsidR="003531C3" w:rsidRPr="00D9369D" w:rsidRDefault="003531C3" w:rsidP="003531C3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-Parents are made fully aware of the expectations regarding attendance including absence during term time and the number of holidays has continued to decline.</w:t>
      </w:r>
      <w:r w:rsidR="001971E6" w:rsidRPr="00D9369D">
        <w:rPr>
          <w:sz w:val="19"/>
          <w:szCs w:val="19"/>
          <w:lang w:val="en-US"/>
        </w:rPr>
        <w:t xml:space="preserve"> However, this is still an action for improvement next year.</w:t>
      </w:r>
    </w:p>
    <w:p w14:paraId="78E4B01A" w14:textId="3D568D1B" w:rsidR="003531C3" w:rsidRPr="00D9369D" w:rsidRDefault="003531C3" w:rsidP="003531C3">
      <w:pPr>
        <w:rPr>
          <w:sz w:val="19"/>
          <w:szCs w:val="19"/>
          <w:lang w:val="en-US"/>
        </w:rPr>
      </w:pPr>
      <w:r w:rsidRPr="00D9369D">
        <w:rPr>
          <w:sz w:val="19"/>
          <w:szCs w:val="19"/>
          <w:lang w:val="en-US"/>
        </w:rPr>
        <w:t>-</w:t>
      </w:r>
      <w:r w:rsidR="00606F4C" w:rsidRPr="00D9369D">
        <w:rPr>
          <w:sz w:val="19"/>
          <w:szCs w:val="19"/>
          <w:lang w:val="en-US"/>
        </w:rPr>
        <w:t xml:space="preserve">Through following our procedures regarding </w:t>
      </w:r>
      <w:r w:rsidR="001844DF" w:rsidRPr="00D9369D">
        <w:rPr>
          <w:sz w:val="19"/>
          <w:szCs w:val="19"/>
          <w:lang w:val="en-US"/>
        </w:rPr>
        <w:t>different stages of attendance, where letters have been sent, monitoring has shown</w:t>
      </w:r>
      <w:r w:rsidR="00786BAD" w:rsidRPr="00D9369D">
        <w:rPr>
          <w:sz w:val="19"/>
          <w:szCs w:val="19"/>
          <w:lang w:val="en-US"/>
        </w:rPr>
        <w:t xml:space="preserve"> in most cases, consistent improvement. W</w:t>
      </w:r>
      <w:r w:rsidRPr="00D9369D">
        <w:rPr>
          <w:sz w:val="19"/>
          <w:szCs w:val="19"/>
          <w:lang w:val="en-US"/>
        </w:rPr>
        <w:t>here it hasn’t, further action has been taken (attendance panel meetings)</w:t>
      </w:r>
    </w:p>
    <w:p w14:paraId="0121915F" w14:textId="77777777" w:rsidR="003531C3" w:rsidRPr="00366DB7" w:rsidRDefault="003531C3" w:rsidP="003531C3">
      <w:pPr>
        <w:rPr>
          <w:sz w:val="18"/>
          <w:szCs w:val="18"/>
        </w:rPr>
      </w:pPr>
    </w:p>
    <w:p w14:paraId="22D21863" w14:textId="19B23F56" w:rsidR="3850C330" w:rsidRPr="00D9369D" w:rsidRDefault="003531C3" w:rsidP="5C133A22">
      <w:pPr>
        <w:rPr>
          <w:b/>
          <w:bCs/>
          <w:sz w:val="20"/>
          <w:szCs w:val="20"/>
        </w:rPr>
      </w:pPr>
      <w:r w:rsidRPr="00D9369D">
        <w:rPr>
          <w:b/>
          <w:bCs/>
          <w:sz w:val="20"/>
          <w:szCs w:val="20"/>
          <w:u w:val="single"/>
          <w:lang w:val="en-US"/>
        </w:rPr>
        <w:t xml:space="preserve">Main </w:t>
      </w:r>
      <w:r w:rsidR="004D176A">
        <w:rPr>
          <w:b/>
          <w:bCs/>
          <w:sz w:val="20"/>
          <w:szCs w:val="20"/>
          <w:u w:val="single"/>
          <w:lang w:val="en-US"/>
        </w:rPr>
        <w:t>Priorities</w:t>
      </w:r>
      <w:r w:rsidRPr="00D9369D">
        <w:rPr>
          <w:b/>
          <w:bCs/>
          <w:sz w:val="20"/>
          <w:szCs w:val="20"/>
          <w:u w:val="single"/>
          <w:lang w:val="en-US"/>
        </w:rPr>
        <w:t xml:space="preserve"> for 2023-2024</w:t>
      </w:r>
    </w:p>
    <w:p w14:paraId="4AA77029" w14:textId="3DD34DBF" w:rsidR="00AB6672" w:rsidRPr="00D9369D" w:rsidRDefault="00AB6672" w:rsidP="5C133A22">
      <w:pPr>
        <w:rPr>
          <w:b/>
          <w:bCs/>
          <w:sz w:val="20"/>
          <w:szCs w:val="20"/>
          <w:u w:val="single"/>
          <w:lang w:val="en-US"/>
        </w:rPr>
      </w:pPr>
      <w:r w:rsidRPr="00D9369D">
        <w:rPr>
          <w:b/>
          <w:bCs/>
          <w:sz w:val="20"/>
          <w:szCs w:val="20"/>
          <w:lang w:val="en-US"/>
        </w:rPr>
        <w:t xml:space="preserve">*Continue to </w:t>
      </w:r>
      <w:r w:rsidR="00CA127D" w:rsidRPr="00D9369D">
        <w:rPr>
          <w:b/>
          <w:bCs/>
          <w:sz w:val="20"/>
          <w:szCs w:val="20"/>
          <w:lang w:val="en-US"/>
        </w:rPr>
        <w:t>prevent</w:t>
      </w:r>
      <w:r w:rsidRPr="00D9369D">
        <w:rPr>
          <w:b/>
          <w:bCs/>
          <w:sz w:val="20"/>
          <w:szCs w:val="20"/>
          <w:u w:val="single"/>
          <w:lang w:val="en-US"/>
        </w:rPr>
        <w:t xml:space="preserve"> </w:t>
      </w:r>
      <w:r w:rsidR="003F5721" w:rsidRPr="00D9369D">
        <w:rPr>
          <w:b/>
          <w:bCs/>
          <w:sz w:val="20"/>
          <w:szCs w:val="20"/>
        </w:rPr>
        <w:t xml:space="preserve">persistent and </w:t>
      </w:r>
      <w:r w:rsidR="00CA127D" w:rsidRPr="00D9369D">
        <w:rPr>
          <w:b/>
          <w:bCs/>
          <w:sz w:val="20"/>
          <w:szCs w:val="20"/>
        </w:rPr>
        <w:t xml:space="preserve">severe </w:t>
      </w:r>
      <w:r w:rsidR="003F5721" w:rsidRPr="00D9369D">
        <w:rPr>
          <w:b/>
          <w:bCs/>
          <w:sz w:val="20"/>
          <w:szCs w:val="20"/>
        </w:rPr>
        <w:t>absence</w:t>
      </w:r>
      <w:r w:rsidR="00CA127D" w:rsidRPr="00D9369D">
        <w:rPr>
          <w:b/>
          <w:bCs/>
          <w:sz w:val="20"/>
          <w:szCs w:val="20"/>
        </w:rPr>
        <w:t xml:space="preserve"> occurring and </w:t>
      </w:r>
      <w:r w:rsidR="00F30D57" w:rsidRPr="00D9369D">
        <w:rPr>
          <w:b/>
          <w:bCs/>
          <w:sz w:val="20"/>
          <w:szCs w:val="20"/>
        </w:rPr>
        <w:t>reduce the percentage of persistent absence across the school</w:t>
      </w:r>
    </w:p>
    <w:p w14:paraId="2E47A140" w14:textId="33FD93D0" w:rsidR="3850C330" w:rsidRDefault="3850C330" w:rsidP="5C133A22">
      <w:pPr>
        <w:rPr>
          <w:b/>
          <w:bCs/>
          <w:sz w:val="20"/>
          <w:szCs w:val="20"/>
        </w:rPr>
      </w:pPr>
      <w:r w:rsidRPr="00D9369D">
        <w:rPr>
          <w:b/>
          <w:bCs/>
          <w:sz w:val="20"/>
          <w:szCs w:val="20"/>
          <w:lang w:val="en-US"/>
        </w:rPr>
        <w:t>*</w:t>
      </w:r>
      <w:r w:rsidR="00E028A1" w:rsidRPr="00D9369D">
        <w:rPr>
          <w:b/>
          <w:bCs/>
          <w:sz w:val="20"/>
          <w:szCs w:val="20"/>
          <w:lang w:val="en-US"/>
        </w:rPr>
        <w:t>To i</w:t>
      </w:r>
      <w:r w:rsidRPr="00D9369D">
        <w:rPr>
          <w:b/>
          <w:bCs/>
          <w:sz w:val="20"/>
          <w:szCs w:val="20"/>
          <w:lang w:val="en-US"/>
        </w:rPr>
        <w:t xml:space="preserve">mprove overall attendance and reduce persistence absence </w:t>
      </w:r>
      <w:r w:rsidR="003531C3" w:rsidRPr="00D9369D">
        <w:rPr>
          <w:b/>
          <w:bCs/>
          <w:sz w:val="20"/>
          <w:szCs w:val="20"/>
          <w:lang w:val="en-US"/>
        </w:rPr>
        <w:t>for FSM and SEN groups</w:t>
      </w:r>
      <w:r w:rsidR="00BE5694" w:rsidRPr="00D9369D">
        <w:rPr>
          <w:b/>
          <w:bCs/>
          <w:sz w:val="20"/>
          <w:szCs w:val="20"/>
          <w:lang w:val="en-US"/>
        </w:rPr>
        <w:t xml:space="preserve"> </w:t>
      </w:r>
      <w:r w:rsidR="00BE5694" w:rsidRPr="00D9369D">
        <w:rPr>
          <w:b/>
          <w:bCs/>
          <w:sz w:val="20"/>
          <w:szCs w:val="20"/>
        </w:rPr>
        <w:t xml:space="preserve">and put effective strategies in place </w:t>
      </w:r>
      <w:r w:rsidR="00EE075C" w:rsidRPr="00D9369D">
        <w:rPr>
          <w:b/>
          <w:bCs/>
          <w:sz w:val="20"/>
          <w:szCs w:val="20"/>
        </w:rPr>
        <w:t>to support with their attendance</w:t>
      </w:r>
    </w:p>
    <w:p w14:paraId="739DABFF" w14:textId="215CB3DF" w:rsidR="00CF042C" w:rsidRPr="00D9369D" w:rsidRDefault="00CF042C" w:rsidP="5C133A2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* To reduce the number of lates</w:t>
      </w:r>
    </w:p>
    <w:p w14:paraId="53DCD4F9" w14:textId="347D3A31" w:rsidR="00DF7400" w:rsidRPr="00D9369D" w:rsidRDefault="00DF7400" w:rsidP="5C133A22">
      <w:pPr>
        <w:rPr>
          <w:b/>
          <w:bCs/>
          <w:sz w:val="20"/>
          <w:szCs w:val="20"/>
          <w:lang w:val="en-US"/>
        </w:rPr>
      </w:pPr>
      <w:r w:rsidRPr="00D9369D">
        <w:rPr>
          <w:b/>
          <w:bCs/>
          <w:sz w:val="20"/>
          <w:szCs w:val="20"/>
          <w:lang w:val="en-US"/>
        </w:rPr>
        <w:t xml:space="preserve">* To </w:t>
      </w:r>
      <w:r w:rsidR="00D9369D" w:rsidRPr="00D9369D">
        <w:rPr>
          <w:b/>
          <w:bCs/>
          <w:sz w:val="20"/>
          <w:szCs w:val="20"/>
          <w:lang w:val="en-US"/>
        </w:rPr>
        <w:t xml:space="preserve">further </w:t>
      </w:r>
      <w:r w:rsidRPr="00D9369D">
        <w:rPr>
          <w:b/>
          <w:bCs/>
          <w:sz w:val="20"/>
          <w:szCs w:val="20"/>
          <w:lang w:val="en-US"/>
        </w:rPr>
        <w:t>reduce the number of holidays taken during term time</w:t>
      </w:r>
    </w:p>
    <w:p w14:paraId="3697D519" w14:textId="26D37927" w:rsidR="008A0F0C" w:rsidRPr="00D9369D" w:rsidRDefault="008A0F0C" w:rsidP="5C133A22">
      <w:pPr>
        <w:rPr>
          <w:b/>
          <w:bCs/>
          <w:sz w:val="20"/>
          <w:szCs w:val="20"/>
        </w:rPr>
      </w:pPr>
      <w:r w:rsidRPr="00D9369D">
        <w:rPr>
          <w:b/>
          <w:bCs/>
          <w:sz w:val="20"/>
          <w:szCs w:val="20"/>
          <w:lang w:val="en-US"/>
        </w:rPr>
        <w:t>*</w:t>
      </w:r>
      <w:r w:rsidRPr="00D9369D">
        <w:rPr>
          <w:b/>
          <w:bCs/>
          <w:sz w:val="20"/>
          <w:szCs w:val="20"/>
        </w:rPr>
        <w:t>Continue to develop and maintain a whole school culture that promotes the benefits of high attendance</w:t>
      </w:r>
    </w:p>
    <w:p w14:paraId="1FCC0554" w14:textId="7B37F7D7" w:rsidR="002205AE" w:rsidRPr="00D9369D" w:rsidRDefault="002205AE" w:rsidP="5C133A22">
      <w:pPr>
        <w:rPr>
          <w:b/>
          <w:bCs/>
          <w:sz w:val="20"/>
          <w:szCs w:val="20"/>
          <w:lang w:val="en-US"/>
        </w:rPr>
      </w:pPr>
      <w:r w:rsidRPr="00D9369D">
        <w:rPr>
          <w:b/>
          <w:bCs/>
          <w:sz w:val="20"/>
          <w:szCs w:val="20"/>
        </w:rPr>
        <w:t>*Continue to build strong relationships with families, listen to and understand barriers to attendance and work with families to remove them</w:t>
      </w:r>
    </w:p>
    <w:p w14:paraId="0DCCECA8" w14:textId="4B78FECE" w:rsidR="006C78A2" w:rsidRPr="009E0D3D" w:rsidRDefault="006C78A2" w:rsidP="7D69BB65">
      <w:pPr>
        <w:rPr>
          <w:b/>
          <w:bCs/>
          <w:sz w:val="20"/>
          <w:szCs w:val="20"/>
          <w:u w:val="single"/>
          <w:lang w:val="en-US"/>
        </w:rPr>
      </w:pPr>
    </w:p>
    <w:p w14:paraId="2596DE43" w14:textId="77777777" w:rsidR="00DE618A" w:rsidRDefault="00DE618A">
      <w:pPr>
        <w:rPr>
          <w:sz w:val="20"/>
          <w:szCs w:val="20"/>
          <w:lang w:val="en-US"/>
        </w:rPr>
      </w:pPr>
    </w:p>
    <w:sectPr w:rsidR="00DE618A" w:rsidSect="008D0BAE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927"/>
    <w:multiLevelType w:val="hybridMultilevel"/>
    <w:tmpl w:val="55FC0FE0"/>
    <w:lvl w:ilvl="0" w:tplc="1DF23E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15D3"/>
    <w:multiLevelType w:val="hybridMultilevel"/>
    <w:tmpl w:val="2EBAFC88"/>
    <w:lvl w:ilvl="0" w:tplc="74C07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C6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26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9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06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06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85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EF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36A7B"/>
    <w:multiLevelType w:val="hybridMultilevel"/>
    <w:tmpl w:val="8A2EAA92"/>
    <w:lvl w:ilvl="0" w:tplc="36523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4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46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68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45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47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A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B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42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BA"/>
    <w:rsid w:val="000304D3"/>
    <w:rsid w:val="000424C2"/>
    <w:rsid w:val="00043BC1"/>
    <w:rsid w:val="00061F1D"/>
    <w:rsid w:val="000810B5"/>
    <w:rsid w:val="0008593D"/>
    <w:rsid w:val="000F0843"/>
    <w:rsid w:val="000F395C"/>
    <w:rsid w:val="00101C52"/>
    <w:rsid w:val="00105D80"/>
    <w:rsid w:val="0010769C"/>
    <w:rsid w:val="00124C8B"/>
    <w:rsid w:val="00143983"/>
    <w:rsid w:val="0014442E"/>
    <w:rsid w:val="00152EEC"/>
    <w:rsid w:val="0015621B"/>
    <w:rsid w:val="0017356B"/>
    <w:rsid w:val="001844DF"/>
    <w:rsid w:val="001872DB"/>
    <w:rsid w:val="001971E6"/>
    <w:rsid w:val="001A5A18"/>
    <w:rsid w:val="001B0372"/>
    <w:rsid w:val="001B03DC"/>
    <w:rsid w:val="001B7242"/>
    <w:rsid w:val="001D4AA3"/>
    <w:rsid w:val="001D58E5"/>
    <w:rsid w:val="00220367"/>
    <w:rsid w:val="002205AE"/>
    <w:rsid w:val="00231124"/>
    <w:rsid w:val="00241E69"/>
    <w:rsid w:val="00246979"/>
    <w:rsid w:val="0027150C"/>
    <w:rsid w:val="0027340F"/>
    <w:rsid w:val="00285B56"/>
    <w:rsid w:val="00286996"/>
    <w:rsid w:val="002A00EB"/>
    <w:rsid w:val="002A12A4"/>
    <w:rsid w:val="002A5CA6"/>
    <w:rsid w:val="002B3ADF"/>
    <w:rsid w:val="002C2B81"/>
    <w:rsid w:val="002C66D4"/>
    <w:rsid w:val="002D0849"/>
    <w:rsid w:val="002E286C"/>
    <w:rsid w:val="002E440F"/>
    <w:rsid w:val="0030049A"/>
    <w:rsid w:val="0031470C"/>
    <w:rsid w:val="00315939"/>
    <w:rsid w:val="003531C3"/>
    <w:rsid w:val="003640B1"/>
    <w:rsid w:val="00366DB7"/>
    <w:rsid w:val="003771EF"/>
    <w:rsid w:val="00395B5F"/>
    <w:rsid w:val="003B2DDE"/>
    <w:rsid w:val="003C482D"/>
    <w:rsid w:val="003D0ADA"/>
    <w:rsid w:val="003D4401"/>
    <w:rsid w:val="003E2158"/>
    <w:rsid w:val="003F5721"/>
    <w:rsid w:val="004029FE"/>
    <w:rsid w:val="00420420"/>
    <w:rsid w:val="00434353"/>
    <w:rsid w:val="00467437"/>
    <w:rsid w:val="004B5439"/>
    <w:rsid w:val="004C566B"/>
    <w:rsid w:val="004D176A"/>
    <w:rsid w:val="004D540A"/>
    <w:rsid w:val="004F1098"/>
    <w:rsid w:val="004F52C4"/>
    <w:rsid w:val="004F5E65"/>
    <w:rsid w:val="0052087E"/>
    <w:rsid w:val="0052560E"/>
    <w:rsid w:val="00525C17"/>
    <w:rsid w:val="005356E5"/>
    <w:rsid w:val="00560B97"/>
    <w:rsid w:val="00567216"/>
    <w:rsid w:val="005815F9"/>
    <w:rsid w:val="00584D76"/>
    <w:rsid w:val="00593287"/>
    <w:rsid w:val="005C0835"/>
    <w:rsid w:val="005C398F"/>
    <w:rsid w:val="005D7318"/>
    <w:rsid w:val="005E4E63"/>
    <w:rsid w:val="005F77E8"/>
    <w:rsid w:val="00606F4C"/>
    <w:rsid w:val="0061412C"/>
    <w:rsid w:val="006176FF"/>
    <w:rsid w:val="00620C28"/>
    <w:rsid w:val="0062614E"/>
    <w:rsid w:val="00631963"/>
    <w:rsid w:val="00642B68"/>
    <w:rsid w:val="00651CCD"/>
    <w:rsid w:val="00653F69"/>
    <w:rsid w:val="00662431"/>
    <w:rsid w:val="00670EC4"/>
    <w:rsid w:val="006757C6"/>
    <w:rsid w:val="006763D8"/>
    <w:rsid w:val="006967BB"/>
    <w:rsid w:val="006B2870"/>
    <w:rsid w:val="006C2BDB"/>
    <w:rsid w:val="006C78A2"/>
    <w:rsid w:val="006D79AA"/>
    <w:rsid w:val="006F0B15"/>
    <w:rsid w:val="006F6CD0"/>
    <w:rsid w:val="0070026C"/>
    <w:rsid w:val="00714D44"/>
    <w:rsid w:val="00725B07"/>
    <w:rsid w:val="00733904"/>
    <w:rsid w:val="00735C24"/>
    <w:rsid w:val="0073711B"/>
    <w:rsid w:val="00760A50"/>
    <w:rsid w:val="007635A2"/>
    <w:rsid w:val="00765343"/>
    <w:rsid w:val="00786BAD"/>
    <w:rsid w:val="007930FE"/>
    <w:rsid w:val="00793B4D"/>
    <w:rsid w:val="007C6F61"/>
    <w:rsid w:val="007E5EBA"/>
    <w:rsid w:val="007F1624"/>
    <w:rsid w:val="007F2B40"/>
    <w:rsid w:val="007F338E"/>
    <w:rsid w:val="007F47D3"/>
    <w:rsid w:val="008208FF"/>
    <w:rsid w:val="0082335E"/>
    <w:rsid w:val="00837BDA"/>
    <w:rsid w:val="00845B3E"/>
    <w:rsid w:val="0089115C"/>
    <w:rsid w:val="008A0F0C"/>
    <w:rsid w:val="008A6CA4"/>
    <w:rsid w:val="008B0044"/>
    <w:rsid w:val="008B1D19"/>
    <w:rsid w:val="008C0832"/>
    <w:rsid w:val="008D0BAE"/>
    <w:rsid w:val="008F07E4"/>
    <w:rsid w:val="008F4943"/>
    <w:rsid w:val="008F7F5F"/>
    <w:rsid w:val="00904205"/>
    <w:rsid w:val="00904C5B"/>
    <w:rsid w:val="00920367"/>
    <w:rsid w:val="009228B8"/>
    <w:rsid w:val="00945D47"/>
    <w:rsid w:val="00951134"/>
    <w:rsid w:val="00951904"/>
    <w:rsid w:val="00962ABC"/>
    <w:rsid w:val="00963A61"/>
    <w:rsid w:val="009710AA"/>
    <w:rsid w:val="0098600D"/>
    <w:rsid w:val="009C6E35"/>
    <w:rsid w:val="009D1749"/>
    <w:rsid w:val="009E0D3D"/>
    <w:rsid w:val="009F4B85"/>
    <w:rsid w:val="00A04ECA"/>
    <w:rsid w:val="00A56F57"/>
    <w:rsid w:val="00A76EDC"/>
    <w:rsid w:val="00A8136E"/>
    <w:rsid w:val="00A81A95"/>
    <w:rsid w:val="00A86417"/>
    <w:rsid w:val="00A94A55"/>
    <w:rsid w:val="00AB1603"/>
    <w:rsid w:val="00AB3A18"/>
    <w:rsid w:val="00AB6672"/>
    <w:rsid w:val="00AC6960"/>
    <w:rsid w:val="00AE5617"/>
    <w:rsid w:val="00AE6324"/>
    <w:rsid w:val="00AF2A10"/>
    <w:rsid w:val="00AF6D89"/>
    <w:rsid w:val="00B12135"/>
    <w:rsid w:val="00B306D5"/>
    <w:rsid w:val="00B46EC1"/>
    <w:rsid w:val="00B65FC8"/>
    <w:rsid w:val="00B71F53"/>
    <w:rsid w:val="00B756DF"/>
    <w:rsid w:val="00B8466A"/>
    <w:rsid w:val="00B92AAC"/>
    <w:rsid w:val="00BD5D95"/>
    <w:rsid w:val="00BE5694"/>
    <w:rsid w:val="00C07B0D"/>
    <w:rsid w:val="00C4113F"/>
    <w:rsid w:val="00C45899"/>
    <w:rsid w:val="00C466A1"/>
    <w:rsid w:val="00C6552F"/>
    <w:rsid w:val="00C7042D"/>
    <w:rsid w:val="00C77CDC"/>
    <w:rsid w:val="00C84A16"/>
    <w:rsid w:val="00CA127D"/>
    <w:rsid w:val="00CD059A"/>
    <w:rsid w:val="00CE33BD"/>
    <w:rsid w:val="00CE719A"/>
    <w:rsid w:val="00CF042C"/>
    <w:rsid w:val="00CF3ED1"/>
    <w:rsid w:val="00D2274E"/>
    <w:rsid w:val="00D26522"/>
    <w:rsid w:val="00D30B06"/>
    <w:rsid w:val="00D43D7D"/>
    <w:rsid w:val="00D53FE0"/>
    <w:rsid w:val="00D76383"/>
    <w:rsid w:val="00D80284"/>
    <w:rsid w:val="00D9369D"/>
    <w:rsid w:val="00DA5629"/>
    <w:rsid w:val="00DD38DD"/>
    <w:rsid w:val="00DE618A"/>
    <w:rsid w:val="00DF7400"/>
    <w:rsid w:val="00E028A1"/>
    <w:rsid w:val="00E22544"/>
    <w:rsid w:val="00E23780"/>
    <w:rsid w:val="00E25221"/>
    <w:rsid w:val="00E529D3"/>
    <w:rsid w:val="00E65282"/>
    <w:rsid w:val="00E67950"/>
    <w:rsid w:val="00E96954"/>
    <w:rsid w:val="00EA0F42"/>
    <w:rsid w:val="00EE075C"/>
    <w:rsid w:val="00F015DD"/>
    <w:rsid w:val="00F13169"/>
    <w:rsid w:val="00F1496A"/>
    <w:rsid w:val="00F30D57"/>
    <w:rsid w:val="00F33E68"/>
    <w:rsid w:val="00F34E6D"/>
    <w:rsid w:val="00F36E44"/>
    <w:rsid w:val="00F422EF"/>
    <w:rsid w:val="00F75DB7"/>
    <w:rsid w:val="00F80D6D"/>
    <w:rsid w:val="00F8698C"/>
    <w:rsid w:val="00F97A91"/>
    <w:rsid w:val="00FB05EE"/>
    <w:rsid w:val="00FB37C1"/>
    <w:rsid w:val="00FD64C0"/>
    <w:rsid w:val="00FE1185"/>
    <w:rsid w:val="00FE433C"/>
    <w:rsid w:val="010E6AE6"/>
    <w:rsid w:val="018A451B"/>
    <w:rsid w:val="02A5A065"/>
    <w:rsid w:val="02AA3B47"/>
    <w:rsid w:val="02DCC86F"/>
    <w:rsid w:val="04611065"/>
    <w:rsid w:val="04C8351F"/>
    <w:rsid w:val="04D5892C"/>
    <w:rsid w:val="053B52A8"/>
    <w:rsid w:val="0605C9BB"/>
    <w:rsid w:val="065DB63E"/>
    <w:rsid w:val="06FFFA4D"/>
    <w:rsid w:val="07665B88"/>
    <w:rsid w:val="07DC3C07"/>
    <w:rsid w:val="07E61BA0"/>
    <w:rsid w:val="092F1C08"/>
    <w:rsid w:val="09955700"/>
    <w:rsid w:val="0B7049F6"/>
    <w:rsid w:val="0B727F9F"/>
    <w:rsid w:val="0B7524E6"/>
    <w:rsid w:val="0C03D471"/>
    <w:rsid w:val="0D156D49"/>
    <w:rsid w:val="0D1A7D4C"/>
    <w:rsid w:val="0F8094F2"/>
    <w:rsid w:val="104B2783"/>
    <w:rsid w:val="11EDEE6F"/>
    <w:rsid w:val="12275988"/>
    <w:rsid w:val="12D9C3DC"/>
    <w:rsid w:val="132DEAE9"/>
    <w:rsid w:val="142A0AA1"/>
    <w:rsid w:val="150544A8"/>
    <w:rsid w:val="15BCBF87"/>
    <w:rsid w:val="1600D4E2"/>
    <w:rsid w:val="1761AB63"/>
    <w:rsid w:val="196E36AD"/>
    <w:rsid w:val="1A56AB61"/>
    <w:rsid w:val="1C2FD25C"/>
    <w:rsid w:val="1CF5E886"/>
    <w:rsid w:val="1DBDB622"/>
    <w:rsid w:val="1EE607F9"/>
    <w:rsid w:val="1F2B457B"/>
    <w:rsid w:val="1FB846E4"/>
    <w:rsid w:val="204D0B68"/>
    <w:rsid w:val="22C62F8D"/>
    <w:rsid w:val="2384EA38"/>
    <w:rsid w:val="239FE29A"/>
    <w:rsid w:val="2413CF49"/>
    <w:rsid w:val="251B2310"/>
    <w:rsid w:val="25815CB7"/>
    <w:rsid w:val="276A11DE"/>
    <w:rsid w:val="28139642"/>
    <w:rsid w:val="28B4AC5C"/>
    <w:rsid w:val="2967A1C0"/>
    <w:rsid w:val="29738C2A"/>
    <w:rsid w:val="29CC575E"/>
    <w:rsid w:val="29EE3A24"/>
    <w:rsid w:val="29EE9433"/>
    <w:rsid w:val="2A33A066"/>
    <w:rsid w:val="2AF3E4E3"/>
    <w:rsid w:val="2C858F15"/>
    <w:rsid w:val="2D76F41E"/>
    <w:rsid w:val="2D77ECBC"/>
    <w:rsid w:val="2DBA051D"/>
    <w:rsid w:val="2FBB9558"/>
    <w:rsid w:val="2FBD2FD7"/>
    <w:rsid w:val="2FD65834"/>
    <w:rsid w:val="31563319"/>
    <w:rsid w:val="3261D6F9"/>
    <w:rsid w:val="32C82A88"/>
    <w:rsid w:val="331A6E70"/>
    <w:rsid w:val="3405D753"/>
    <w:rsid w:val="3530ECCB"/>
    <w:rsid w:val="357E6025"/>
    <w:rsid w:val="35A1A7B4"/>
    <w:rsid w:val="36F21B7F"/>
    <w:rsid w:val="37241FAA"/>
    <w:rsid w:val="37704F36"/>
    <w:rsid w:val="37AD7EE0"/>
    <w:rsid w:val="37DACA28"/>
    <w:rsid w:val="3850C330"/>
    <w:rsid w:val="38688D8D"/>
    <w:rsid w:val="3897AF0D"/>
    <w:rsid w:val="38B549C9"/>
    <w:rsid w:val="38C6BC38"/>
    <w:rsid w:val="39494F41"/>
    <w:rsid w:val="39537D69"/>
    <w:rsid w:val="3A0D4D5B"/>
    <w:rsid w:val="3B0C57F8"/>
    <w:rsid w:val="3B8B54E7"/>
    <w:rsid w:val="3B9D0600"/>
    <w:rsid w:val="3C09B306"/>
    <w:rsid w:val="3C4AA543"/>
    <w:rsid w:val="3C9DDF87"/>
    <w:rsid w:val="3CA3A065"/>
    <w:rsid w:val="3D3BFEB0"/>
    <w:rsid w:val="3D7287E7"/>
    <w:rsid w:val="3D84C392"/>
    <w:rsid w:val="3DA100FC"/>
    <w:rsid w:val="3E1CC064"/>
    <w:rsid w:val="3E3F70C6"/>
    <w:rsid w:val="3F2B05FC"/>
    <w:rsid w:val="3F2B4633"/>
    <w:rsid w:val="3F8BE751"/>
    <w:rsid w:val="3FB2C3B6"/>
    <w:rsid w:val="3FEFD8B2"/>
    <w:rsid w:val="407B8CF8"/>
    <w:rsid w:val="40AA28A9"/>
    <w:rsid w:val="414E3A08"/>
    <w:rsid w:val="416F2402"/>
    <w:rsid w:val="42CDB5B4"/>
    <w:rsid w:val="42E614D1"/>
    <w:rsid w:val="42F03187"/>
    <w:rsid w:val="430AF463"/>
    <w:rsid w:val="432290E8"/>
    <w:rsid w:val="43AB4034"/>
    <w:rsid w:val="43B32DBA"/>
    <w:rsid w:val="442B9A87"/>
    <w:rsid w:val="44A6C4C4"/>
    <w:rsid w:val="451845ED"/>
    <w:rsid w:val="45EF8A8D"/>
    <w:rsid w:val="4632921F"/>
    <w:rsid w:val="46429525"/>
    <w:rsid w:val="464EBF8D"/>
    <w:rsid w:val="46EACE7C"/>
    <w:rsid w:val="47B7B361"/>
    <w:rsid w:val="48028D6F"/>
    <w:rsid w:val="48602D70"/>
    <w:rsid w:val="48869EDD"/>
    <w:rsid w:val="48B53A8E"/>
    <w:rsid w:val="497DA285"/>
    <w:rsid w:val="49B34DD1"/>
    <w:rsid w:val="4A32C4DA"/>
    <w:rsid w:val="4B51F588"/>
    <w:rsid w:val="4BBE3F9F"/>
    <w:rsid w:val="4BFD1658"/>
    <w:rsid w:val="4C50FBF0"/>
    <w:rsid w:val="4CB555F1"/>
    <w:rsid w:val="4CD107FC"/>
    <w:rsid w:val="4D33DE08"/>
    <w:rsid w:val="4EF5E061"/>
    <w:rsid w:val="4F247C12"/>
    <w:rsid w:val="4F64DEED"/>
    <w:rsid w:val="50577D9E"/>
    <w:rsid w:val="506551A0"/>
    <w:rsid w:val="5091B0C2"/>
    <w:rsid w:val="50AF3804"/>
    <w:rsid w:val="51A9BA63"/>
    <w:rsid w:val="51B7EB8C"/>
    <w:rsid w:val="522B60AC"/>
    <w:rsid w:val="532905B3"/>
    <w:rsid w:val="53E30BC2"/>
    <w:rsid w:val="546E2129"/>
    <w:rsid w:val="55089E13"/>
    <w:rsid w:val="557CC048"/>
    <w:rsid w:val="55A3F89E"/>
    <w:rsid w:val="5640168A"/>
    <w:rsid w:val="565E29CD"/>
    <w:rsid w:val="57D1AD11"/>
    <w:rsid w:val="57EA6CF0"/>
    <w:rsid w:val="57F5BFDB"/>
    <w:rsid w:val="588319EC"/>
    <w:rsid w:val="58E22329"/>
    <w:rsid w:val="596CBA2E"/>
    <w:rsid w:val="596F6FB7"/>
    <w:rsid w:val="5A59B970"/>
    <w:rsid w:val="5AB982BD"/>
    <w:rsid w:val="5AE43AB8"/>
    <w:rsid w:val="5B0B4018"/>
    <w:rsid w:val="5BAF4891"/>
    <w:rsid w:val="5C133A22"/>
    <w:rsid w:val="5C408E0F"/>
    <w:rsid w:val="5CDD99B0"/>
    <w:rsid w:val="5D8BF39A"/>
    <w:rsid w:val="5E630536"/>
    <w:rsid w:val="5EA2CD76"/>
    <w:rsid w:val="5EF1F099"/>
    <w:rsid w:val="5FFED597"/>
    <w:rsid w:val="60153A72"/>
    <w:rsid w:val="604EAD6E"/>
    <w:rsid w:val="60C6D213"/>
    <w:rsid w:val="61185C05"/>
    <w:rsid w:val="627795AC"/>
    <w:rsid w:val="630B08BE"/>
    <w:rsid w:val="63D01E4F"/>
    <w:rsid w:val="64E8AB95"/>
    <w:rsid w:val="65404281"/>
    <w:rsid w:val="655803FC"/>
    <w:rsid w:val="66ADDF5B"/>
    <w:rsid w:val="675DDA4F"/>
    <w:rsid w:val="680EBC9A"/>
    <w:rsid w:val="683E6CE2"/>
    <w:rsid w:val="684ABB2B"/>
    <w:rsid w:val="6909BA47"/>
    <w:rsid w:val="6974ACC4"/>
    <w:rsid w:val="69965523"/>
    <w:rsid w:val="69E51393"/>
    <w:rsid w:val="6A978909"/>
    <w:rsid w:val="6B4B22EB"/>
    <w:rsid w:val="6B97D48F"/>
    <w:rsid w:val="6C415B09"/>
    <w:rsid w:val="6CC521C9"/>
    <w:rsid w:val="6CFBAB00"/>
    <w:rsid w:val="6DA5E37D"/>
    <w:rsid w:val="6DBCAEF2"/>
    <w:rsid w:val="6F1E157E"/>
    <w:rsid w:val="6F41B3DE"/>
    <w:rsid w:val="6F434E5D"/>
    <w:rsid w:val="6F78FBCB"/>
    <w:rsid w:val="6FDDE335"/>
    <w:rsid w:val="6FFCEB87"/>
    <w:rsid w:val="70C68D13"/>
    <w:rsid w:val="70E70C44"/>
    <w:rsid w:val="71399FBA"/>
    <w:rsid w:val="715CC56B"/>
    <w:rsid w:val="7282DCA5"/>
    <w:rsid w:val="736AEC84"/>
    <w:rsid w:val="74152501"/>
    <w:rsid w:val="74AF2AC7"/>
    <w:rsid w:val="751BBD4A"/>
    <w:rsid w:val="75CBB83E"/>
    <w:rsid w:val="765EC67E"/>
    <w:rsid w:val="769CE924"/>
    <w:rsid w:val="76B78DAB"/>
    <w:rsid w:val="7767889F"/>
    <w:rsid w:val="783E5DA7"/>
    <w:rsid w:val="784E98AF"/>
    <w:rsid w:val="79035900"/>
    <w:rsid w:val="79B46D0D"/>
    <w:rsid w:val="7A96763D"/>
    <w:rsid w:val="7A9F2961"/>
    <w:rsid w:val="7B75FE69"/>
    <w:rsid w:val="7BCDEB04"/>
    <w:rsid w:val="7D69BB65"/>
    <w:rsid w:val="7E387A91"/>
    <w:rsid w:val="7EAE7399"/>
    <w:rsid w:val="7EB164B9"/>
    <w:rsid w:val="7EB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F3C9"/>
  <w15:chartTrackingRefBased/>
  <w15:docId w15:val="{955BD8E6-BBD6-4B8B-A590-51EDB21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1D1CAEF11844D8541D6BB285B8591" ma:contentTypeVersion="16" ma:contentTypeDescription="Create a new document." ma:contentTypeScope="" ma:versionID="ec873559839bba414094eb237df00e3b">
  <xsd:schema xmlns:xsd="http://www.w3.org/2001/XMLSchema" xmlns:xs="http://www.w3.org/2001/XMLSchema" xmlns:p="http://schemas.microsoft.com/office/2006/metadata/properties" xmlns:ns3="410ea1e3-6018-4f7a-a1e1-e5130e925633" xmlns:ns4="cab73e58-ac2d-4909-a828-d00ae832b20e" targetNamespace="http://schemas.microsoft.com/office/2006/metadata/properties" ma:root="true" ma:fieldsID="7ef2da4406a6c80a0c641820a0508754" ns3:_="" ns4:_="">
    <xsd:import namespace="410ea1e3-6018-4f7a-a1e1-e5130e925633"/>
    <xsd:import namespace="cab73e58-ac2d-4909-a828-d00ae832b2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a1e3-6018-4f7a-a1e1-e5130e925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73e58-ac2d-4909-a828-d00ae832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73e58-ac2d-4909-a828-d00ae832b2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A5732-8727-4012-8EE8-57A145552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a1e3-6018-4f7a-a1e1-e5130e925633"/>
    <ds:schemaRef ds:uri="cab73e58-ac2d-4909-a828-d00ae832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C94C7-91E1-46B7-AC46-66CA1967F40D}">
  <ds:schemaRefs>
    <ds:schemaRef ds:uri="http://schemas.microsoft.com/office/2006/metadata/properties"/>
    <ds:schemaRef ds:uri="http://schemas.microsoft.com/office/infopath/2007/PartnerControls"/>
    <ds:schemaRef ds:uri="cab73e58-ac2d-4909-a828-d00ae832b20e"/>
  </ds:schemaRefs>
</ds:datastoreItem>
</file>

<file path=customXml/itemProps3.xml><?xml version="1.0" encoding="utf-8"?>
<ds:datastoreItem xmlns:ds="http://schemas.openxmlformats.org/officeDocument/2006/customXml" ds:itemID="{929EF782-E17C-45B3-BA4C-6966E25EC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Malpas Alport Primary School Head</dc:creator>
  <cp:keywords/>
  <dc:description/>
  <cp:lastModifiedBy>Malpas Alport Primary School Head</cp:lastModifiedBy>
  <cp:revision>2</cp:revision>
  <cp:lastPrinted>2022-11-09T17:30:00Z</cp:lastPrinted>
  <dcterms:created xsi:type="dcterms:W3CDTF">2023-11-12T15:59:00Z</dcterms:created>
  <dcterms:modified xsi:type="dcterms:W3CDTF">2023-11-12T15:59:00Z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0x010100E571D1CAEF11844D8541D6BB285B8591</vt:lpwstr>
  </property>
</Properties>
</file>